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FA4EAF" w:rsidRDefault="0094424E" w:rsidP="0094424E">
      <w:pPr>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rsidRPr="00FA4EAF">
        <w:trPr>
          <w:trHeight w:val="295"/>
          <w:jc w:val="center"/>
        </w:trPr>
        <w:tc>
          <w:tcPr>
            <w:tcW w:w="5049" w:type="dxa"/>
            <w:gridSpan w:val="3"/>
          </w:tcPr>
          <w:p w:rsidR="0094424E" w:rsidRPr="00FA4EAF" w:rsidRDefault="0094424E">
            <w:pPr>
              <w:rPr>
                <w:rFonts w:ascii="Arial" w:hAnsi="Arial"/>
                <w:b/>
                <w:bCs/>
                <w:noProof w:val="0"/>
                <w:sz w:val="26"/>
                <w:szCs w:val="26"/>
                <w:rtl/>
              </w:rPr>
            </w:pPr>
          </w:p>
        </w:tc>
        <w:tc>
          <w:tcPr>
            <w:tcW w:w="3771" w:type="dxa"/>
          </w:tcPr>
          <w:p w:rsidR="0094424E" w:rsidRPr="00FA4EAF" w:rsidRDefault="0094424E" w:rsidP="00896889">
            <w:pPr>
              <w:rPr>
                <w:rFonts w:ascii="Arial" w:hAnsi="Arial"/>
                <w:b/>
                <w:bCs/>
                <w:noProof w:val="0"/>
                <w:sz w:val="26"/>
                <w:szCs w:val="26"/>
                <w:rtl/>
              </w:rPr>
            </w:pPr>
            <w:r w:rsidRPr="00FA4EAF">
              <w:rPr>
                <w:rFonts w:ascii="Arial" w:hAnsi="Arial"/>
                <w:b/>
                <w:bCs/>
                <w:noProof w:val="0"/>
                <w:sz w:val="26"/>
                <w:szCs w:val="26"/>
                <w:rtl/>
              </w:rPr>
              <w:t>מספר בקשה:</w:t>
            </w:r>
            <w:sdt>
              <w:sdtPr>
                <w:rPr>
                  <w:sz w:val="26"/>
                  <w:szCs w:val="26"/>
                  <w:rtl/>
                </w:rPr>
                <w:alias w:val="1193"/>
                <w:tag w:val="1193"/>
                <w:id w:val="-636028727"/>
                <w:text w:multiLine="1"/>
              </w:sdtPr>
              <w:sdtEndPr/>
              <w:sdtContent>
                <w:r>
                  <w:rPr>
                    <w:rFonts w:ascii="Arial" w:hAnsi="Arial"/>
                    <w:b/>
                    <w:bCs/>
                    <w:noProof w:val="0"/>
                    <w:sz w:val="26"/>
                    <w:szCs w:val="26"/>
                    <w:rtl/>
                  </w:rPr>
                  <w:t>6</w:t>
                </w:r>
              </w:sdtContent>
            </w:sdt>
          </w:p>
        </w:tc>
      </w:tr>
      <w:tr w:rsidR="0094424E" w:rsidRPr="00FA4EAF">
        <w:trPr>
          <w:jc w:val="center"/>
        </w:trPr>
        <w:tc>
          <w:tcPr>
            <w:tcW w:w="743" w:type="dxa"/>
          </w:tcPr>
          <w:p w:rsidR="0094424E" w:rsidRPr="00FA4EAF" w:rsidRDefault="00D74378" w:rsidP="00E962E3">
            <w:pPr>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3"/>
          </w:tcPr>
          <w:p w:rsidR="0094424E" w:rsidRPr="00FA4EAF" w:rsidRDefault="000529D2">
            <w:pPr>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אילן דפדי</w:t>
                </w:r>
              </w:sdtContent>
            </w:sdt>
          </w:p>
          <w:p w:rsidR="0094424E" w:rsidRPr="00FA4EAF" w:rsidRDefault="0094424E">
            <w:pPr>
              <w:rPr>
                <w:rFonts w:ascii="Arial" w:hAnsi="Arial" w:cs="FrankRuehl"/>
                <w:sz w:val="26"/>
                <w:szCs w:val="26"/>
                <w:highlight w:val="yellow"/>
              </w:rPr>
            </w:pPr>
          </w:p>
        </w:tc>
      </w:tr>
      <w:tr w:rsidR="0094424E" w:rsidRPr="00FA4EAF" w:rsidTr="00465D36">
        <w:trPr>
          <w:jc w:val="center"/>
        </w:trPr>
        <w:tc>
          <w:tcPr>
            <w:tcW w:w="3249" w:type="dxa"/>
            <w:gridSpan w:val="2"/>
          </w:tcPr>
          <w:p w:rsidR="0094424E" w:rsidRPr="00FA4EAF" w:rsidRDefault="0094424E" w:rsidP="00465D36">
            <w:pPr>
              <w:rPr>
                <w:rFonts w:ascii="Arial" w:hAnsi="Arial"/>
                <w:b/>
                <w:bCs/>
                <w:noProof w:val="0"/>
                <w:sz w:val="26"/>
                <w:szCs w:val="26"/>
              </w:rPr>
            </w:pPr>
          </w:p>
          <w:sdt>
            <w:sdtPr>
              <w:rPr>
                <w:sz w:val="26"/>
                <w:szCs w:val="26"/>
                <w:rtl/>
              </w:rPr>
              <w:alias w:val="1180"/>
              <w:tag w:val="1180"/>
              <w:id w:val="637458750"/>
              <w:text w:multiLine="1"/>
            </w:sdtPr>
            <w:sdtEndPr/>
            <w:sdtContent>
              <w:p w:rsidR="008D2C1F" w:rsidRDefault="00287FE0">
                <w:pPr>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מבקש</w:t>
                </w:r>
                <w:r>
                  <w:rPr>
                    <w:rFonts w:ascii="Arial" w:hAnsi="Arial" w:hint="cs"/>
                    <w:b/>
                    <w:bCs/>
                    <w:noProof w:val="0"/>
                    <w:sz w:val="26"/>
                    <w:szCs w:val="26"/>
                    <w:rtl/>
                  </w:rPr>
                  <w:t xml:space="preserve"> (המשיב בערעור)</w:t>
                </w:r>
              </w:p>
            </w:sdtContent>
          </w:sdt>
        </w:tc>
        <w:tc>
          <w:tcPr>
            <w:tcW w:w="5571" w:type="dxa"/>
            <w:gridSpan w:val="2"/>
          </w:tcPr>
          <w:p w:rsidR="0094424E" w:rsidRPr="00287FE0" w:rsidRDefault="0094424E">
            <w:pPr>
              <w:rPr>
                <w:rFonts w:ascii="Arial" w:hAnsi="Arial"/>
                <w:b/>
                <w:bCs/>
                <w:noProof w:val="0"/>
                <w:sz w:val="26"/>
                <w:szCs w:val="26"/>
                <w:rtl/>
              </w:rPr>
            </w:pPr>
          </w:p>
          <w:p w:rsidR="003763AB" w:rsidRPr="00287FE0" w:rsidRDefault="00EA5FE1" w:rsidP="0032553A">
            <w:pPr>
              <w:rPr>
                <w:b/>
                <w:bCs/>
                <w:sz w:val="26"/>
                <w:szCs w:val="26"/>
                <w:rtl/>
              </w:rPr>
            </w:pPr>
            <w:sdt>
              <w:sdtPr>
                <w:rPr>
                  <w:b/>
                  <w:bCs/>
                  <w:sz w:val="26"/>
                  <w:szCs w:val="26"/>
                  <w:rtl/>
                </w:rPr>
                <w:alias w:val="1478"/>
                <w:tag w:val="1478"/>
                <w:id w:val="-2076122985"/>
                <w:text w:multiLine="1"/>
              </w:sdtPr>
              <w:sdtEndPr/>
              <w:sdtContent>
                <w:r w:rsidR="0032553A">
                  <w:rPr>
                    <w:rFonts w:ascii="Arial" w:hAnsi="Arial" w:hint="cs"/>
                    <w:b/>
                    <w:bCs/>
                    <w:noProof w:val="0"/>
                    <w:sz w:val="26"/>
                    <w:szCs w:val="26"/>
                    <w:rtl/>
                  </w:rPr>
                  <w:t>פלוני</w:t>
                </w:r>
              </w:sdtContent>
            </w:sdt>
          </w:p>
          <w:p w:rsidR="0094424E" w:rsidRPr="00287FE0" w:rsidRDefault="001D3441" w:rsidP="00287FE0">
            <w:pPr>
              <w:rPr>
                <w:b/>
                <w:bCs/>
                <w:noProof w:val="0"/>
                <w:sz w:val="26"/>
                <w:szCs w:val="26"/>
              </w:rPr>
            </w:pPr>
            <w:r w:rsidRPr="00287FE0">
              <w:rPr>
                <w:rFonts w:hint="cs"/>
                <w:b/>
                <w:bCs/>
                <w:sz w:val="26"/>
                <w:szCs w:val="26"/>
                <w:rtl/>
              </w:rPr>
              <w:t>ע"י עו"ד</w:t>
            </w:r>
            <w:r w:rsidR="00287FE0" w:rsidRPr="00287FE0">
              <w:rPr>
                <w:rFonts w:hint="cs"/>
                <w:b/>
                <w:bCs/>
                <w:noProof w:val="0"/>
                <w:sz w:val="26"/>
                <w:szCs w:val="26"/>
                <w:rtl/>
              </w:rPr>
              <w:t xml:space="preserve"> ירון ממן</w:t>
            </w:r>
          </w:p>
        </w:tc>
      </w:tr>
      <w:tr w:rsidR="0094424E" w:rsidRPr="00FA4EAF">
        <w:trPr>
          <w:jc w:val="center"/>
        </w:trPr>
        <w:tc>
          <w:tcPr>
            <w:tcW w:w="8820" w:type="dxa"/>
            <w:gridSpan w:val="4"/>
          </w:tcPr>
          <w:p w:rsidR="0094424E" w:rsidRPr="00287FE0" w:rsidRDefault="0094424E">
            <w:pPr>
              <w:rPr>
                <w:rFonts w:ascii="Arial" w:hAnsi="Arial"/>
                <w:b/>
                <w:bCs/>
                <w:noProof w:val="0"/>
                <w:sz w:val="26"/>
                <w:szCs w:val="26"/>
                <w:rtl/>
              </w:rPr>
            </w:pPr>
          </w:p>
          <w:p w:rsidR="0094424E" w:rsidRPr="00287FE0" w:rsidRDefault="0094424E">
            <w:pPr>
              <w:jc w:val="center"/>
              <w:rPr>
                <w:rFonts w:ascii="Arial" w:hAnsi="Arial"/>
                <w:b/>
                <w:bCs/>
                <w:noProof w:val="0"/>
                <w:sz w:val="26"/>
                <w:szCs w:val="26"/>
                <w:rtl/>
              </w:rPr>
            </w:pPr>
            <w:r w:rsidRPr="00287FE0">
              <w:rPr>
                <w:rFonts w:ascii="Arial" w:hAnsi="Arial"/>
                <w:b/>
                <w:bCs/>
                <w:noProof w:val="0"/>
                <w:sz w:val="26"/>
                <w:szCs w:val="26"/>
                <w:rtl/>
              </w:rPr>
              <w:t>נגד</w:t>
            </w:r>
          </w:p>
          <w:p w:rsidR="0094424E" w:rsidRPr="00287FE0" w:rsidRDefault="0094424E">
            <w:pPr>
              <w:rPr>
                <w:rFonts w:ascii="Arial" w:hAnsi="Arial"/>
                <w:b/>
                <w:bCs/>
                <w:noProof w:val="0"/>
                <w:sz w:val="26"/>
                <w:szCs w:val="26"/>
              </w:rPr>
            </w:pPr>
          </w:p>
        </w:tc>
      </w:tr>
      <w:tr w:rsidR="0094424E" w:rsidRPr="00FA4EAF">
        <w:trPr>
          <w:jc w:val="center"/>
        </w:trPr>
        <w:tc>
          <w:tcPr>
            <w:tcW w:w="3249" w:type="dxa"/>
            <w:gridSpan w:val="2"/>
          </w:tcPr>
          <w:p w:rsidR="0094424E" w:rsidRPr="00FA4EAF" w:rsidRDefault="0094424E">
            <w:pPr>
              <w:rPr>
                <w:rFonts w:ascii="Arial" w:hAnsi="Arial"/>
                <w:b/>
                <w:bCs/>
                <w:noProof w:val="0"/>
                <w:sz w:val="26"/>
                <w:szCs w:val="26"/>
                <w:rtl/>
              </w:rPr>
            </w:pPr>
          </w:p>
          <w:p w:rsidR="0094424E" w:rsidRPr="00FA4EAF" w:rsidRDefault="00EA5FE1">
            <w:pPr>
              <w:rPr>
                <w:rFonts w:ascii="Arial" w:hAnsi="Arial"/>
                <w:b/>
                <w:bCs/>
                <w:noProof w:val="0"/>
                <w:sz w:val="26"/>
                <w:szCs w:val="26"/>
              </w:rPr>
            </w:pPr>
            <w:sdt>
              <w:sdtPr>
                <w:rPr>
                  <w:b/>
                  <w:bCs/>
                  <w:sz w:val="26"/>
                  <w:szCs w:val="26"/>
                  <w:rtl/>
                </w:rPr>
                <w:alias w:val="1184"/>
                <w:tag w:val="1184"/>
                <w:id w:val="-340621022"/>
                <w:text w:multiLine="1"/>
              </w:sdtPr>
              <w:sdtEndPr/>
              <w:sdtContent>
                <w:r w:rsidR="00287FE0" w:rsidRPr="00287FE0">
                  <w:rPr>
                    <w:rFonts w:ascii="Arial" w:hAnsi="Arial" w:hint="cs"/>
                    <w:b/>
                    <w:bCs/>
                    <w:noProof w:val="0"/>
                    <w:sz w:val="26"/>
                    <w:szCs w:val="26"/>
                    <w:rtl/>
                  </w:rPr>
                  <w:t>ה</w:t>
                </w:r>
                <w:r w:rsidR="00287FE0" w:rsidRPr="00287FE0">
                  <w:rPr>
                    <w:rFonts w:ascii="Arial" w:hAnsi="Arial"/>
                    <w:b/>
                    <w:bCs/>
                    <w:noProof w:val="0"/>
                    <w:sz w:val="26"/>
                    <w:szCs w:val="26"/>
                    <w:rtl/>
                  </w:rPr>
                  <w:t>משיב</w:t>
                </w:r>
                <w:r w:rsidR="00287FE0" w:rsidRPr="00287FE0">
                  <w:rPr>
                    <w:rFonts w:ascii="Arial" w:hAnsi="Arial" w:hint="cs"/>
                    <w:b/>
                    <w:bCs/>
                    <w:noProof w:val="0"/>
                    <w:sz w:val="26"/>
                    <w:szCs w:val="26"/>
                    <w:rtl/>
                  </w:rPr>
                  <w:t>ה</w:t>
                </w:r>
                <w:r w:rsidR="00287FE0" w:rsidRPr="00287FE0">
                  <w:rPr>
                    <w:rFonts w:hint="cs"/>
                    <w:b/>
                    <w:bCs/>
                    <w:sz w:val="26"/>
                    <w:szCs w:val="26"/>
                    <w:rtl/>
                  </w:rPr>
                  <w:t xml:space="preserve"> (המערערת)</w:t>
                </w:r>
              </w:sdtContent>
            </w:sdt>
          </w:p>
        </w:tc>
        <w:tc>
          <w:tcPr>
            <w:tcW w:w="5571" w:type="dxa"/>
            <w:gridSpan w:val="2"/>
          </w:tcPr>
          <w:p w:rsidR="00287FE0" w:rsidRPr="00287FE0" w:rsidRDefault="00287FE0">
            <w:pPr>
              <w:rPr>
                <w:b/>
                <w:bCs/>
                <w:sz w:val="26"/>
                <w:szCs w:val="26"/>
                <w:rtl/>
              </w:rPr>
            </w:pPr>
          </w:p>
          <w:p w:rsidR="003763AB" w:rsidRPr="00287FE0" w:rsidRDefault="00EA5FE1" w:rsidP="0032553A">
            <w:pPr>
              <w:rPr>
                <w:b/>
                <w:bCs/>
                <w:sz w:val="26"/>
                <w:szCs w:val="26"/>
                <w:rtl/>
              </w:rPr>
            </w:pPr>
            <w:sdt>
              <w:sdtPr>
                <w:rPr>
                  <w:b/>
                  <w:bCs/>
                  <w:sz w:val="26"/>
                  <w:szCs w:val="26"/>
                  <w:rtl/>
                </w:rPr>
                <w:alias w:val="1486"/>
                <w:tag w:val="1486"/>
                <w:id w:val="-308711360"/>
                <w:text w:multiLine="1"/>
              </w:sdtPr>
              <w:sdtEndPr/>
              <w:sdtContent>
                <w:r w:rsidR="0032553A">
                  <w:rPr>
                    <w:rFonts w:ascii="Arial" w:hAnsi="Arial" w:hint="cs"/>
                    <w:b/>
                    <w:bCs/>
                    <w:noProof w:val="0"/>
                    <w:sz w:val="26"/>
                    <w:szCs w:val="26"/>
                    <w:rtl/>
                  </w:rPr>
                  <w:t>פלונית</w:t>
                </w:r>
              </w:sdtContent>
            </w:sdt>
          </w:p>
          <w:p w:rsidR="0094424E" w:rsidRPr="00287FE0" w:rsidRDefault="001D3441" w:rsidP="00287FE0">
            <w:pPr>
              <w:rPr>
                <w:b/>
                <w:bCs/>
                <w:noProof w:val="0"/>
                <w:sz w:val="26"/>
                <w:szCs w:val="26"/>
                <w:rtl/>
              </w:rPr>
            </w:pPr>
            <w:r w:rsidRPr="00287FE0">
              <w:rPr>
                <w:rFonts w:hint="cs"/>
                <w:b/>
                <w:bCs/>
                <w:sz w:val="26"/>
                <w:szCs w:val="26"/>
                <w:rtl/>
              </w:rPr>
              <w:t>ע"י עו"ד</w:t>
            </w:r>
            <w:r w:rsidR="00287FE0" w:rsidRPr="00287FE0">
              <w:rPr>
                <w:rFonts w:hint="cs"/>
                <w:b/>
                <w:bCs/>
                <w:noProof w:val="0"/>
                <w:sz w:val="26"/>
                <w:szCs w:val="26"/>
                <w:rtl/>
              </w:rPr>
              <w:t xml:space="preserve"> ארתור שני</w:t>
            </w:r>
          </w:p>
        </w:tc>
      </w:tr>
      <w:tr w:rsidR="004C17EE" w:rsidRPr="00FA4EAF" w:rsidTr="00D620FD">
        <w:trPr>
          <w:jc w:val="center"/>
        </w:trPr>
        <w:tc>
          <w:tcPr>
            <w:tcW w:w="8820" w:type="dxa"/>
            <w:gridSpan w:val="4"/>
          </w:tcPr>
          <w:p w:rsidR="008D2C1F" w:rsidRDefault="008D2C1F">
            <w:pPr>
              <w:rPr>
                <w:rFonts w:ascii="Arial" w:hAnsi="Arial"/>
                <w:b/>
                <w:bCs/>
                <w:noProof w:val="0"/>
                <w:sz w:val="26"/>
                <w:szCs w:val="26"/>
                <w:rtl/>
              </w:rPr>
            </w:pPr>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9F6F04" w:rsidRDefault="00C545AF" w:rsidP="00792EB9">
      <w:pPr>
        <w:pStyle w:val="ad"/>
        <w:numPr>
          <w:ilvl w:val="0"/>
          <w:numId w:val="1"/>
        </w:numPr>
        <w:spacing w:line="360" w:lineRule="auto"/>
        <w:jc w:val="both"/>
        <w:rPr>
          <w:rFonts w:ascii="Arial" w:hAnsi="Arial"/>
          <w:noProof w:val="0"/>
        </w:rPr>
      </w:pPr>
      <w:bookmarkStart w:id="1" w:name="NGCSBookmark"/>
      <w:bookmarkEnd w:id="1"/>
      <w:r>
        <w:rPr>
          <w:rFonts w:ascii="Arial" w:hAnsi="Arial" w:hint="cs"/>
          <w:noProof w:val="0"/>
          <w:rtl/>
        </w:rPr>
        <w:t xml:space="preserve">לפניי בקשה למחיקת הערעור בשל </w:t>
      </w:r>
      <w:r w:rsidR="00287FE0">
        <w:rPr>
          <w:rFonts w:ascii="Arial" w:hAnsi="Arial" w:hint="cs"/>
          <w:noProof w:val="0"/>
          <w:rtl/>
        </w:rPr>
        <w:t xml:space="preserve">איחור בהגשתו. </w:t>
      </w:r>
    </w:p>
    <w:p w:rsidR="009F6F04" w:rsidRDefault="009F6F04" w:rsidP="009F6F04">
      <w:pPr>
        <w:spacing w:line="360" w:lineRule="auto"/>
        <w:jc w:val="both"/>
        <w:rPr>
          <w:rFonts w:ascii="Arial" w:hAnsi="Arial"/>
          <w:noProof w:val="0"/>
          <w:rtl/>
        </w:rPr>
      </w:pPr>
    </w:p>
    <w:p w:rsidR="00C545AF" w:rsidRDefault="00C545AF" w:rsidP="00C545AF">
      <w:pPr>
        <w:spacing w:line="360" w:lineRule="auto"/>
        <w:ind w:left="360"/>
        <w:jc w:val="both"/>
        <w:rPr>
          <w:rFonts w:ascii="Arial" w:hAnsi="Arial"/>
          <w:b/>
          <w:bCs/>
          <w:noProof w:val="0"/>
          <w:u w:val="single"/>
          <w:rtl/>
        </w:rPr>
      </w:pPr>
      <w:r w:rsidRPr="00C545AF">
        <w:rPr>
          <w:rFonts w:ascii="Arial" w:hAnsi="Arial" w:hint="cs"/>
          <w:b/>
          <w:bCs/>
          <w:noProof w:val="0"/>
          <w:u w:val="single"/>
          <w:rtl/>
        </w:rPr>
        <w:t>האירועים בתמצית</w:t>
      </w:r>
    </w:p>
    <w:p w:rsidR="00C545AF" w:rsidRPr="00C545AF" w:rsidRDefault="00C545AF" w:rsidP="00C545AF">
      <w:pPr>
        <w:spacing w:line="360" w:lineRule="auto"/>
        <w:ind w:left="360"/>
        <w:jc w:val="both"/>
        <w:rPr>
          <w:rFonts w:ascii="Arial" w:hAnsi="Arial"/>
          <w:b/>
          <w:bCs/>
          <w:noProof w:val="0"/>
          <w:u w:val="single"/>
        </w:rPr>
      </w:pPr>
    </w:p>
    <w:p w:rsidR="00C545AF" w:rsidRDefault="00684D69" w:rsidP="00BB2C9B">
      <w:pPr>
        <w:pStyle w:val="ad"/>
        <w:numPr>
          <w:ilvl w:val="0"/>
          <w:numId w:val="1"/>
        </w:numPr>
        <w:spacing w:line="360" w:lineRule="auto"/>
        <w:jc w:val="both"/>
        <w:rPr>
          <w:rFonts w:ascii="Arial" w:hAnsi="Arial"/>
          <w:noProof w:val="0"/>
        </w:rPr>
      </w:pPr>
      <w:r w:rsidRPr="009124B3">
        <w:rPr>
          <w:rFonts w:ascii="Arial" w:hAnsi="Arial" w:hint="cs"/>
          <w:noProof w:val="0"/>
          <w:rtl/>
        </w:rPr>
        <w:t xml:space="preserve">ביום 14.11.2022 ניתן על ידי בית המשפט לענייני משפחה - כב' השופטת ענת הלר כריש </w:t>
      </w:r>
      <w:r w:rsidR="0064797C">
        <w:rPr>
          <w:rFonts w:ascii="Arial" w:hAnsi="Arial" w:hint="cs"/>
          <w:noProof w:val="0"/>
          <w:rtl/>
        </w:rPr>
        <w:t>-</w:t>
      </w:r>
      <w:r w:rsidRPr="009124B3">
        <w:rPr>
          <w:rFonts w:ascii="Arial" w:hAnsi="Arial" w:hint="cs"/>
          <w:noProof w:val="0"/>
          <w:rtl/>
        </w:rPr>
        <w:t xml:space="preserve"> פסק דין </w:t>
      </w:r>
      <w:r w:rsidR="002961CA">
        <w:rPr>
          <w:rFonts w:ascii="Arial" w:hAnsi="Arial" w:hint="cs"/>
          <w:noProof w:val="0"/>
          <w:rtl/>
        </w:rPr>
        <w:t xml:space="preserve">שדחה את ההתנגדות שהגישה המשיבה לבקשת המבקש למתן צו ירושה </w:t>
      </w:r>
      <w:r w:rsidR="00355C25">
        <w:rPr>
          <w:rFonts w:ascii="Arial" w:hAnsi="Arial" w:hint="cs"/>
          <w:noProof w:val="0"/>
          <w:rtl/>
        </w:rPr>
        <w:t xml:space="preserve">בעניין עיזבון המנוח </w:t>
      </w:r>
      <w:r w:rsidR="00BB2C9B">
        <w:rPr>
          <w:rFonts w:ascii="Arial" w:hAnsi="Arial" w:hint="cs"/>
          <w:noProof w:val="0"/>
          <w:rtl/>
        </w:rPr>
        <w:t>איקס</w:t>
      </w:r>
      <w:r w:rsidR="0032553A">
        <w:rPr>
          <w:rFonts w:ascii="Arial" w:hAnsi="Arial" w:hint="cs"/>
          <w:noProof w:val="0"/>
          <w:rtl/>
        </w:rPr>
        <w:t xml:space="preserve"> </w:t>
      </w:r>
      <w:r w:rsidR="00355C25">
        <w:rPr>
          <w:rFonts w:ascii="Arial" w:hAnsi="Arial" w:hint="cs"/>
          <w:noProof w:val="0"/>
          <w:rtl/>
        </w:rPr>
        <w:t>(להלן: "המנוח")</w:t>
      </w:r>
      <w:r w:rsidR="009F6F04" w:rsidRPr="009124B3">
        <w:rPr>
          <w:rFonts w:ascii="Arial" w:hAnsi="Arial" w:hint="cs"/>
          <w:noProof w:val="0"/>
          <w:rtl/>
        </w:rPr>
        <w:t xml:space="preserve">. </w:t>
      </w:r>
    </w:p>
    <w:p w:rsidR="00C545AF" w:rsidRPr="00BB2C9B" w:rsidRDefault="00C545AF" w:rsidP="00C545AF">
      <w:pPr>
        <w:pStyle w:val="ad"/>
        <w:spacing w:line="360" w:lineRule="auto"/>
        <w:jc w:val="both"/>
        <w:rPr>
          <w:rFonts w:ascii="Arial" w:hAnsi="Arial"/>
          <w:noProof w:val="0"/>
          <w:rtl/>
        </w:rPr>
      </w:pPr>
    </w:p>
    <w:p w:rsidR="00C545AF" w:rsidRDefault="007D677B" w:rsidP="00C545AF">
      <w:pPr>
        <w:pStyle w:val="ad"/>
        <w:spacing w:line="360" w:lineRule="auto"/>
        <w:jc w:val="both"/>
        <w:rPr>
          <w:rFonts w:ascii="Arial" w:hAnsi="Arial"/>
          <w:noProof w:val="0"/>
          <w:rtl/>
        </w:rPr>
      </w:pPr>
      <w:r w:rsidRPr="009124B3">
        <w:rPr>
          <w:rFonts w:ascii="Arial" w:hAnsi="Arial" w:hint="cs"/>
          <w:noProof w:val="0"/>
          <w:rtl/>
        </w:rPr>
        <w:t xml:space="preserve">ביום 16.11.2022 ניתן צו ירושה על יסוד פסק הדין. </w:t>
      </w:r>
    </w:p>
    <w:p w:rsidR="00C545AF" w:rsidRDefault="00C545AF" w:rsidP="00C545AF">
      <w:pPr>
        <w:pStyle w:val="ad"/>
        <w:spacing w:line="360" w:lineRule="auto"/>
        <w:jc w:val="both"/>
        <w:rPr>
          <w:rFonts w:ascii="Arial" w:hAnsi="Arial"/>
          <w:noProof w:val="0"/>
          <w:rtl/>
        </w:rPr>
      </w:pPr>
    </w:p>
    <w:p w:rsidR="00355C25" w:rsidRDefault="00214780" w:rsidP="00355C25">
      <w:pPr>
        <w:pStyle w:val="ad"/>
        <w:spacing w:line="360" w:lineRule="auto"/>
        <w:jc w:val="both"/>
        <w:rPr>
          <w:rFonts w:ascii="Arial" w:hAnsi="Arial"/>
          <w:noProof w:val="0"/>
          <w:rtl/>
        </w:rPr>
      </w:pPr>
      <w:r w:rsidRPr="009124B3">
        <w:rPr>
          <w:rFonts w:ascii="Arial" w:hAnsi="Arial" w:hint="cs"/>
          <w:noProof w:val="0"/>
          <w:rtl/>
        </w:rPr>
        <w:t xml:space="preserve">כחודש ימים לאחר מכן, ביום 14.12.2022, </w:t>
      </w:r>
      <w:r w:rsidR="00792EB9" w:rsidRPr="009124B3">
        <w:rPr>
          <w:rFonts w:ascii="Arial" w:hAnsi="Arial" w:hint="cs"/>
          <w:noProof w:val="0"/>
          <w:rtl/>
        </w:rPr>
        <w:t xml:space="preserve">הגישה המשיבה </w:t>
      </w:r>
      <w:r w:rsidR="00C545AF">
        <w:rPr>
          <w:rFonts w:ascii="Arial" w:hAnsi="Arial" w:hint="cs"/>
          <w:noProof w:val="0"/>
          <w:rtl/>
        </w:rPr>
        <w:t xml:space="preserve">במסגרת </w:t>
      </w:r>
      <w:r w:rsidR="0005434A">
        <w:rPr>
          <w:rFonts w:ascii="Arial" w:hAnsi="Arial" w:hint="cs"/>
          <w:noProof w:val="0"/>
          <w:rtl/>
        </w:rPr>
        <w:t xml:space="preserve">תיק </w:t>
      </w:r>
      <w:r w:rsidR="00C545AF">
        <w:rPr>
          <w:rFonts w:ascii="Arial" w:hAnsi="Arial" w:hint="cs"/>
          <w:noProof w:val="0"/>
          <w:rtl/>
        </w:rPr>
        <w:t xml:space="preserve">בית משפט קמא </w:t>
      </w:r>
      <w:r w:rsidR="00792EB9" w:rsidRPr="009124B3">
        <w:rPr>
          <w:rFonts w:ascii="Arial" w:hAnsi="Arial" w:hint="cs"/>
          <w:noProof w:val="0"/>
          <w:rtl/>
        </w:rPr>
        <w:t>בק</w:t>
      </w:r>
      <w:r w:rsidR="007D677B" w:rsidRPr="009124B3">
        <w:rPr>
          <w:rFonts w:ascii="Arial" w:hAnsi="Arial" w:hint="cs"/>
          <w:noProof w:val="0"/>
          <w:rtl/>
        </w:rPr>
        <w:t>שה לביטול פסק הדין</w:t>
      </w:r>
      <w:r w:rsidR="009F6F04" w:rsidRPr="009124B3">
        <w:rPr>
          <w:rFonts w:ascii="Arial" w:hAnsi="Arial" w:hint="cs"/>
          <w:noProof w:val="0"/>
          <w:rtl/>
        </w:rPr>
        <w:t xml:space="preserve"> </w:t>
      </w:r>
      <w:r w:rsidR="00397D13">
        <w:rPr>
          <w:rFonts w:ascii="Arial" w:hAnsi="Arial" w:hint="cs"/>
          <w:noProof w:val="0"/>
          <w:rtl/>
        </w:rPr>
        <w:t>וצו הירושה שניתן בעקבותיו.</w:t>
      </w:r>
      <w:r w:rsidR="009124B3" w:rsidRPr="009124B3">
        <w:rPr>
          <w:rFonts w:ascii="Arial" w:hAnsi="Arial" w:hint="cs"/>
          <w:noProof w:val="0"/>
          <w:rtl/>
        </w:rPr>
        <w:t xml:space="preserve"> </w:t>
      </w:r>
      <w:r w:rsidR="0005434A">
        <w:rPr>
          <w:rFonts w:ascii="Arial" w:hAnsi="Arial" w:hint="cs"/>
          <w:noProof w:val="0"/>
          <w:rtl/>
        </w:rPr>
        <w:t>במסגרת הבקשה עתרה בין היתר לסעד חלופי לפיו יוארך המועד להגשת הערע</w:t>
      </w:r>
      <w:r w:rsidR="00355C25">
        <w:rPr>
          <w:rFonts w:ascii="Arial" w:hAnsi="Arial" w:hint="cs"/>
          <w:noProof w:val="0"/>
          <w:rtl/>
        </w:rPr>
        <w:t>ור עד להכרעה בתובענה בעניין קביעת גדרי</w:t>
      </w:r>
      <w:r w:rsidR="0005434A">
        <w:rPr>
          <w:rFonts w:ascii="Arial" w:hAnsi="Arial" w:hint="cs"/>
          <w:noProof w:val="0"/>
          <w:rtl/>
        </w:rPr>
        <w:t xml:space="preserve"> העיזבון שהגישה המשיבה וילדיה המשותפים</w:t>
      </w:r>
      <w:r w:rsidR="00355C25">
        <w:rPr>
          <w:rFonts w:ascii="Arial" w:hAnsi="Arial" w:hint="cs"/>
          <w:noProof w:val="0"/>
          <w:rtl/>
        </w:rPr>
        <w:t xml:space="preserve"> עם המנוח. </w:t>
      </w:r>
    </w:p>
    <w:p w:rsidR="00355C25" w:rsidRDefault="00355C25" w:rsidP="00355C25">
      <w:pPr>
        <w:pStyle w:val="ad"/>
        <w:spacing w:line="360" w:lineRule="auto"/>
        <w:jc w:val="both"/>
        <w:rPr>
          <w:rFonts w:ascii="Arial" w:hAnsi="Arial"/>
          <w:noProof w:val="0"/>
          <w:rtl/>
        </w:rPr>
      </w:pPr>
    </w:p>
    <w:p w:rsidR="00355C25" w:rsidRDefault="00355C25" w:rsidP="002961CA">
      <w:pPr>
        <w:pStyle w:val="ad"/>
        <w:spacing w:line="360" w:lineRule="auto"/>
        <w:jc w:val="both"/>
        <w:rPr>
          <w:rFonts w:ascii="Arial" w:hAnsi="Arial"/>
          <w:noProof w:val="0"/>
          <w:rtl/>
        </w:rPr>
      </w:pPr>
      <w:r>
        <w:rPr>
          <w:rFonts w:ascii="Arial" w:hAnsi="Arial" w:hint="cs"/>
          <w:noProof w:val="0"/>
          <w:rtl/>
        </w:rPr>
        <w:t xml:space="preserve">בהחלטת כב' השופטת </w:t>
      </w:r>
      <w:r w:rsidR="007F3A72">
        <w:rPr>
          <w:rFonts w:ascii="Arial" w:hAnsi="Arial" w:hint="cs"/>
          <w:noProof w:val="0"/>
          <w:rtl/>
        </w:rPr>
        <w:t xml:space="preserve">מיום 15.12.2022 </w:t>
      </w:r>
      <w:r>
        <w:rPr>
          <w:rFonts w:ascii="Arial" w:hAnsi="Arial" w:hint="cs"/>
          <w:noProof w:val="0"/>
          <w:rtl/>
        </w:rPr>
        <w:t xml:space="preserve">הועברה הבקשה לתגובת </w:t>
      </w:r>
      <w:r w:rsidR="002961CA">
        <w:rPr>
          <w:rFonts w:ascii="Arial" w:hAnsi="Arial" w:hint="cs"/>
          <w:noProof w:val="0"/>
          <w:rtl/>
        </w:rPr>
        <w:t>המבקש</w:t>
      </w:r>
      <w:r>
        <w:rPr>
          <w:rFonts w:ascii="Arial" w:hAnsi="Arial" w:hint="cs"/>
          <w:noProof w:val="0"/>
          <w:rtl/>
        </w:rPr>
        <w:t xml:space="preserve"> בתוך 20 ימים וזו הוגשה ביום</w:t>
      </w:r>
      <w:r w:rsidR="009124B3" w:rsidRPr="009124B3">
        <w:rPr>
          <w:rFonts w:ascii="Arial" w:hAnsi="Arial" w:hint="cs"/>
          <w:noProof w:val="0"/>
          <w:rtl/>
        </w:rPr>
        <w:t xml:space="preserve"> </w:t>
      </w:r>
      <w:r>
        <w:rPr>
          <w:rFonts w:ascii="Arial" w:hAnsi="Arial" w:hint="cs"/>
          <w:noProof w:val="0"/>
          <w:rtl/>
        </w:rPr>
        <w:t>4.1.2023.</w:t>
      </w:r>
    </w:p>
    <w:p w:rsidR="00355C25" w:rsidRDefault="00355C25" w:rsidP="00355C25">
      <w:pPr>
        <w:pStyle w:val="ad"/>
        <w:spacing w:line="360" w:lineRule="auto"/>
        <w:jc w:val="both"/>
        <w:rPr>
          <w:rFonts w:ascii="Arial" w:hAnsi="Arial"/>
          <w:noProof w:val="0"/>
          <w:rtl/>
        </w:rPr>
      </w:pPr>
    </w:p>
    <w:p w:rsidR="002A612E" w:rsidRDefault="00355C25" w:rsidP="002961CA">
      <w:pPr>
        <w:pStyle w:val="ad"/>
        <w:spacing w:line="360" w:lineRule="auto"/>
        <w:jc w:val="both"/>
        <w:rPr>
          <w:rFonts w:ascii="Arial" w:hAnsi="Arial"/>
          <w:noProof w:val="0"/>
          <w:rtl/>
        </w:rPr>
      </w:pPr>
      <w:r>
        <w:rPr>
          <w:rFonts w:ascii="Arial" w:hAnsi="Arial" w:hint="cs"/>
          <w:noProof w:val="0"/>
          <w:rtl/>
        </w:rPr>
        <w:lastRenderedPageBreak/>
        <w:t xml:space="preserve">ביום 5.1.2023 </w:t>
      </w:r>
      <w:r w:rsidR="009124B3" w:rsidRPr="009124B3">
        <w:rPr>
          <w:rFonts w:ascii="Arial" w:hAnsi="Arial" w:hint="cs"/>
          <w:noProof w:val="0"/>
          <w:rtl/>
        </w:rPr>
        <w:t xml:space="preserve">ניתנה החלטת בית המשפט קמא </w:t>
      </w:r>
      <w:r w:rsidR="002961CA">
        <w:rPr>
          <w:rFonts w:ascii="Arial" w:hAnsi="Arial" w:hint="cs"/>
          <w:noProof w:val="0"/>
          <w:rtl/>
        </w:rPr>
        <w:t>שדחתה את</w:t>
      </w:r>
      <w:r w:rsidR="009124B3" w:rsidRPr="009124B3">
        <w:rPr>
          <w:rFonts w:ascii="Arial" w:hAnsi="Arial" w:hint="cs"/>
          <w:noProof w:val="0"/>
          <w:rtl/>
        </w:rPr>
        <w:t xml:space="preserve"> ה</w:t>
      </w:r>
      <w:r>
        <w:rPr>
          <w:rFonts w:ascii="Arial" w:hAnsi="Arial" w:hint="cs"/>
          <w:noProof w:val="0"/>
          <w:rtl/>
        </w:rPr>
        <w:t>בקשה לביטול פסק הדין. ז</w:t>
      </w:r>
      <w:r w:rsidR="00E64A12">
        <w:rPr>
          <w:rFonts w:ascii="Arial" w:hAnsi="Arial" w:hint="cs"/>
          <w:noProof w:val="0"/>
          <w:rtl/>
        </w:rPr>
        <w:t>את</w:t>
      </w:r>
      <w:r w:rsidR="00F16E03">
        <w:rPr>
          <w:rFonts w:ascii="Arial" w:hAnsi="Arial" w:hint="cs"/>
          <w:noProof w:val="0"/>
          <w:rtl/>
        </w:rPr>
        <w:t>,</w:t>
      </w:r>
      <w:r w:rsidR="00E64A12">
        <w:rPr>
          <w:rFonts w:ascii="Arial" w:hAnsi="Arial" w:hint="cs"/>
          <w:noProof w:val="0"/>
          <w:rtl/>
        </w:rPr>
        <w:t xml:space="preserve"> בנימוק </w:t>
      </w:r>
      <w:r>
        <w:rPr>
          <w:rFonts w:ascii="Arial" w:hAnsi="Arial" w:hint="cs"/>
          <w:noProof w:val="0"/>
          <w:rtl/>
        </w:rPr>
        <w:t>כי אין המדובר בפסק דין שניתן במעמד צד אחד, אלא בפסק דין שנית</w:t>
      </w:r>
      <w:r w:rsidR="00E64A12">
        <w:rPr>
          <w:rFonts w:ascii="Arial" w:hAnsi="Arial" w:hint="cs"/>
          <w:noProof w:val="0"/>
          <w:rtl/>
        </w:rPr>
        <w:t xml:space="preserve">ן לאחר שנמסרה הודעה מאת המשיבה בה הודיעה כי אינה מסכימה למתן צו ירושה אלא מבקשת </w:t>
      </w:r>
      <w:r w:rsidR="00E64A12" w:rsidRPr="00E64A12">
        <w:rPr>
          <w:rFonts w:ascii="Arial" w:hAnsi="Arial" w:hint="cs"/>
          <w:b/>
          <w:bCs/>
          <w:noProof w:val="0"/>
          <w:rtl/>
        </w:rPr>
        <w:t>"לקבל פסק דין מנומק כדי שתוכל להבין לעומק מדוע ועל סמך מה נדחו טענותיה"</w:t>
      </w:r>
      <w:r w:rsidR="00E64A12">
        <w:rPr>
          <w:rFonts w:ascii="Arial" w:hAnsi="Arial" w:hint="cs"/>
          <w:noProof w:val="0"/>
          <w:rtl/>
        </w:rPr>
        <w:t>. לפיכך</w:t>
      </w:r>
      <w:r w:rsidR="00F16E03">
        <w:rPr>
          <w:rFonts w:ascii="Arial" w:hAnsi="Arial" w:hint="cs"/>
          <w:noProof w:val="0"/>
          <w:rtl/>
        </w:rPr>
        <w:t>,</w:t>
      </w:r>
      <w:r w:rsidR="00E64A12">
        <w:rPr>
          <w:rFonts w:ascii="Arial" w:hAnsi="Arial" w:hint="cs"/>
          <w:noProof w:val="0"/>
          <w:rtl/>
        </w:rPr>
        <w:t xml:space="preserve"> נקבע כי אין מקום לפנייתה של המשיבה לאותה ערכאה שנתנה את פסק הדין בבקשה לבטלו.  </w:t>
      </w:r>
    </w:p>
    <w:p w:rsidR="002A612E" w:rsidRDefault="002A612E" w:rsidP="00C545AF">
      <w:pPr>
        <w:pStyle w:val="ad"/>
        <w:spacing w:line="360" w:lineRule="auto"/>
        <w:jc w:val="both"/>
        <w:rPr>
          <w:rFonts w:ascii="Arial" w:hAnsi="Arial"/>
          <w:noProof w:val="0"/>
          <w:rtl/>
        </w:rPr>
      </w:pPr>
    </w:p>
    <w:p w:rsidR="00287FE0" w:rsidRDefault="00E1265B" w:rsidP="00C545AF">
      <w:pPr>
        <w:pStyle w:val="ad"/>
        <w:spacing w:line="360" w:lineRule="auto"/>
        <w:jc w:val="both"/>
        <w:rPr>
          <w:rFonts w:ascii="Arial" w:hAnsi="Arial"/>
          <w:noProof w:val="0"/>
          <w:rtl/>
        </w:rPr>
      </w:pPr>
      <w:r>
        <w:rPr>
          <w:rFonts w:ascii="Arial" w:hAnsi="Arial" w:hint="cs"/>
          <w:noProof w:val="0"/>
          <w:rtl/>
        </w:rPr>
        <w:t xml:space="preserve">הערעור </w:t>
      </w:r>
      <w:r w:rsidR="002C541D">
        <w:rPr>
          <w:rFonts w:ascii="Arial" w:hAnsi="Arial" w:hint="cs"/>
          <w:noProof w:val="0"/>
          <w:rtl/>
        </w:rPr>
        <w:t xml:space="preserve">בתיק </w:t>
      </w:r>
      <w:r>
        <w:rPr>
          <w:rFonts w:ascii="Arial" w:hAnsi="Arial" w:hint="cs"/>
          <w:noProof w:val="0"/>
          <w:rtl/>
        </w:rPr>
        <w:t>דנן הוגש ביום 16.1.</w:t>
      </w:r>
      <w:r w:rsidR="00CA66FF">
        <w:rPr>
          <w:rFonts w:ascii="Arial" w:hAnsi="Arial" w:hint="cs"/>
          <w:noProof w:val="0"/>
          <w:rtl/>
        </w:rPr>
        <w:t>20</w:t>
      </w:r>
      <w:r>
        <w:rPr>
          <w:rFonts w:ascii="Arial" w:hAnsi="Arial" w:hint="cs"/>
          <w:noProof w:val="0"/>
          <w:rtl/>
        </w:rPr>
        <w:t>23 ובכותרתו צוין כי הוא מוגש על ההחלטה מיום 5.1.2023 המהווה חלק בלתי נפרד מפסק הדין מיום 14.11.2022.</w:t>
      </w:r>
    </w:p>
    <w:p w:rsidR="002C49B3" w:rsidRDefault="002C49B3" w:rsidP="00C545AF">
      <w:pPr>
        <w:pStyle w:val="ad"/>
        <w:spacing w:line="360" w:lineRule="auto"/>
        <w:jc w:val="both"/>
        <w:rPr>
          <w:rFonts w:ascii="Arial" w:hAnsi="Arial"/>
          <w:noProof w:val="0"/>
          <w:rtl/>
        </w:rPr>
      </w:pPr>
    </w:p>
    <w:p w:rsidR="002C49B3" w:rsidRPr="009124B3" w:rsidRDefault="002C49B3" w:rsidP="002C541D">
      <w:pPr>
        <w:pStyle w:val="ad"/>
        <w:spacing w:line="360" w:lineRule="auto"/>
        <w:jc w:val="both"/>
        <w:rPr>
          <w:rFonts w:ascii="Arial" w:hAnsi="Arial"/>
          <w:noProof w:val="0"/>
        </w:rPr>
      </w:pPr>
      <w:r>
        <w:rPr>
          <w:rFonts w:ascii="Arial" w:hAnsi="Arial" w:hint="cs"/>
          <w:noProof w:val="0"/>
          <w:rtl/>
        </w:rPr>
        <w:t>יש לצ</w:t>
      </w:r>
      <w:r w:rsidR="002C541D">
        <w:rPr>
          <w:rFonts w:ascii="Arial" w:hAnsi="Arial" w:hint="cs"/>
          <w:noProof w:val="0"/>
          <w:rtl/>
        </w:rPr>
        <w:t>יין כי לאחר הגשת הערעור המשיבה הלכה לבית עולמ</w:t>
      </w:r>
      <w:r>
        <w:rPr>
          <w:rFonts w:ascii="Arial" w:hAnsi="Arial" w:hint="cs"/>
          <w:noProof w:val="0"/>
          <w:rtl/>
        </w:rPr>
        <w:t xml:space="preserve">ה. </w:t>
      </w:r>
    </w:p>
    <w:p w:rsidR="002C541D" w:rsidRDefault="002C541D" w:rsidP="00287FE0">
      <w:pPr>
        <w:rPr>
          <w:rFonts w:ascii="Arial" w:hAnsi="Arial"/>
          <w:b/>
          <w:bCs/>
          <w:noProof w:val="0"/>
          <w:u w:val="single"/>
          <w:rtl/>
        </w:rPr>
      </w:pPr>
    </w:p>
    <w:p w:rsidR="00287FE0" w:rsidRDefault="002C541D" w:rsidP="002C541D">
      <w:pPr>
        <w:ind w:firstLine="360"/>
        <w:rPr>
          <w:rFonts w:ascii="Arial" w:hAnsi="Arial"/>
          <w:b/>
          <w:bCs/>
          <w:noProof w:val="0"/>
          <w:u w:val="single"/>
          <w:rtl/>
        </w:rPr>
      </w:pPr>
      <w:r w:rsidRPr="002C541D">
        <w:rPr>
          <w:rFonts w:ascii="Arial" w:hAnsi="Arial" w:hint="cs"/>
          <w:b/>
          <w:bCs/>
          <w:noProof w:val="0"/>
          <w:u w:val="single"/>
          <w:rtl/>
        </w:rPr>
        <w:t>טענות הצדדים</w:t>
      </w:r>
    </w:p>
    <w:p w:rsidR="002C541D" w:rsidRPr="002C541D" w:rsidRDefault="002C541D" w:rsidP="00287FE0">
      <w:pPr>
        <w:rPr>
          <w:rFonts w:ascii="Arial" w:hAnsi="Arial"/>
          <w:b/>
          <w:bCs/>
          <w:noProof w:val="0"/>
          <w:u w:val="single"/>
        </w:rPr>
      </w:pPr>
    </w:p>
    <w:p w:rsidR="00320FCB" w:rsidRDefault="00E1265B" w:rsidP="00CA66FF">
      <w:pPr>
        <w:pStyle w:val="ad"/>
        <w:numPr>
          <w:ilvl w:val="0"/>
          <w:numId w:val="1"/>
        </w:numPr>
        <w:spacing w:line="360" w:lineRule="auto"/>
        <w:jc w:val="both"/>
        <w:rPr>
          <w:rFonts w:ascii="Arial" w:hAnsi="Arial"/>
          <w:noProof w:val="0"/>
        </w:rPr>
      </w:pPr>
      <w:r>
        <w:rPr>
          <w:rFonts w:ascii="Arial" w:hAnsi="Arial" w:hint="cs"/>
          <w:noProof w:val="0"/>
          <w:rtl/>
        </w:rPr>
        <w:t xml:space="preserve">המבקש טוען כי הערעור על פסק הדין הוגש באיחור, שכן </w:t>
      </w:r>
      <w:r w:rsidR="00E64A12">
        <w:rPr>
          <w:rFonts w:ascii="Arial" w:hAnsi="Arial" w:hint="cs"/>
          <w:noProof w:val="0"/>
          <w:rtl/>
        </w:rPr>
        <w:t xml:space="preserve">בהתאם </w:t>
      </w:r>
      <w:r w:rsidR="007F3A72">
        <w:rPr>
          <w:rFonts w:ascii="Arial" w:hAnsi="Arial" w:hint="cs"/>
          <w:noProof w:val="0"/>
          <w:rtl/>
        </w:rPr>
        <w:t>לתקנה 45 (א) לתקנות בית</w:t>
      </w:r>
      <w:r w:rsidR="00E64A12">
        <w:rPr>
          <w:rFonts w:ascii="Arial" w:hAnsi="Arial" w:hint="cs"/>
          <w:noProof w:val="0"/>
          <w:rtl/>
        </w:rPr>
        <w:t xml:space="preserve"> המשפט לענייני משפ</w:t>
      </w:r>
      <w:r w:rsidR="007F3A72">
        <w:rPr>
          <w:rFonts w:ascii="Arial" w:hAnsi="Arial" w:hint="cs"/>
          <w:noProof w:val="0"/>
          <w:rtl/>
        </w:rPr>
        <w:t>ח</w:t>
      </w:r>
      <w:r w:rsidR="00E64A12">
        <w:rPr>
          <w:rFonts w:ascii="Arial" w:hAnsi="Arial" w:hint="cs"/>
          <w:noProof w:val="0"/>
          <w:rtl/>
        </w:rPr>
        <w:t>ה (סדר</w:t>
      </w:r>
      <w:r w:rsidR="002C541D">
        <w:rPr>
          <w:rFonts w:ascii="Arial" w:hAnsi="Arial" w:hint="cs"/>
          <w:noProof w:val="0"/>
          <w:rtl/>
        </w:rPr>
        <w:t xml:space="preserve">י </w:t>
      </w:r>
      <w:r w:rsidR="00E64A12">
        <w:rPr>
          <w:rFonts w:ascii="Arial" w:hAnsi="Arial" w:hint="cs"/>
          <w:noProof w:val="0"/>
          <w:rtl/>
        </w:rPr>
        <w:t>דין) התשפ"א -202</w:t>
      </w:r>
      <w:r w:rsidR="002C541D">
        <w:rPr>
          <w:rFonts w:ascii="Arial" w:hAnsi="Arial" w:hint="cs"/>
          <w:noProof w:val="0"/>
          <w:rtl/>
        </w:rPr>
        <w:t>0</w:t>
      </w:r>
      <w:r w:rsidR="00E64A12">
        <w:rPr>
          <w:rFonts w:ascii="Arial" w:hAnsi="Arial" w:hint="cs"/>
          <w:noProof w:val="0"/>
          <w:rtl/>
        </w:rPr>
        <w:t xml:space="preserve"> היה על המשיבה להגיש את הערעור ע</w:t>
      </w:r>
      <w:r w:rsidR="007F3A72">
        <w:rPr>
          <w:rFonts w:ascii="Arial" w:hAnsi="Arial" w:hint="cs"/>
          <w:noProof w:val="0"/>
          <w:rtl/>
        </w:rPr>
        <w:t>ל</w:t>
      </w:r>
      <w:r w:rsidR="00E64A12">
        <w:rPr>
          <w:rFonts w:ascii="Arial" w:hAnsi="Arial" w:hint="cs"/>
          <w:noProof w:val="0"/>
          <w:rtl/>
        </w:rPr>
        <w:t xml:space="preserve"> פ</w:t>
      </w:r>
      <w:r w:rsidR="00CA7605">
        <w:rPr>
          <w:rFonts w:ascii="Arial" w:hAnsi="Arial" w:hint="cs"/>
          <w:noProof w:val="0"/>
          <w:rtl/>
        </w:rPr>
        <w:t>סק הדין בתוך</w:t>
      </w:r>
      <w:r w:rsidR="00F16E03">
        <w:rPr>
          <w:rFonts w:ascii="Arial" w:hAnsi="Arial" w:hint="cs"/>
          <w:noProof w:val="0"/>
          <w:rtl/>
        </w:rPr>
        <w:t xml:space="preserve"> 45 ימים</w:t>
      </w:r>
      <w:r w:rsidR="002C541D">
        <w:rPr>
          <w:rFonts w:ascii="Arial" w:hAnsi="Arial" w:hint="cs"/>
          <w:noProof w:val="0"/>
          <w:rtl/>
        </w:rPr>
        <w:t>. לטענת המבקש</w:t>
      </w:r>
      <w:r w:rsidR="00CA66FF">
        <w:rPr>
          <w:rFonts w:ascii="Arial" w:hAnsi="Arial" w:hint="cs"/>
          <w:noProof w:val="0"/>
          <w:rtl/>
        </w:rPr>
        <w:t>,</w:t>
      </w:r>
      <w:r w:rsidR="002C541D">
        <w:rPr>
          <w:rFonts w:ascii="Arial" w:hAnsi="Arial" w:hint="cs"/>
          <w:noProof w:val="0"/>
          <w:rtl/>
        </w:rPr>
        <w:t xml:space="preserve"> המשיבה צפתה בפסק הדין באותו יום בו ניתן פסק הדין ובא כוחה צפה בו למחרת. לפיכך</w:t>
      </w:r>
      <w:r w:rsidR="00CA66FF">
        <w:rPr>
          <w:rFonts w:ascii="Arial" w:hAnsi="Arial" w:hint="cs"/>
          <w:noProof w:val="0"/>
          <w:rtl/>
        </w:rPr>
        <w:t>,</w:t>
      </w:r>
      <w:r w:rsidR="002C541D">
        <w:rPr>
          <w:rFonts w:ascii="Arial" w:hAnsi="Arial" w:hint="cs"/>
          <w:noProof w:val="0"/>
          <w:rtl/>
        </w:rPr>
        <w:t xml:space="preserve"> טען כי המועד האחרון להגשת הערעור חל ביום</w:t>
      </w:r>
      <w:r w:rsidR="00F16E03">
        <w:rPr>
          <w:rFonts w:ascii="Arial" w:hAnsi="Arial" w:hint="cs"/>
          <w:noProof w:val="0"/>
          <w:rtl/>
        </w:rPr>
        <w:t xml:space="preserve"> 29.12.2022</w:t>
      </w:r>
      <w:r w:rsidR="002C541D">
        <w:rPr>
          <w:rFonts w:ascii="Arial" w:hAnsi="Arial" w:hint="cs"/>
          <w:noProof w:val="0"/>
          <w:rtl/>
        </w:rPr>
        <w:t xml:space="preserve"> ולכל המאוחר ביום 30.12.2022</w:t>
      </w:r>
      <w:r w:rsidR="00CA7605">
        <w:rPr>
          <w:rFonts w:ascii="Arial" w:hAnsi="Arial" w:hint="cs"/>
          <w:noProof w:val="0"/>
          <w:rtl/>
        </w:rPr>
        <w:t>. מאחר שהערעור הוגש ביום 16.1.2023 הרי שזה הוגש באיחור</w:t>
      </w:r>
      <w:r w:rsidR="00F16E03">
        <w:rPr>
          <w:rFonts w:ascii="Arial" w:hAnsi="Arial" w:hint="cs"/>
          <w:noProof w:val="0"/>
          <w:rtl/>
        </w:rPr>
        <w:t xml:space="preserve">. </w:t>
      </w:r>
      <w:r w:rsidR="00CA7605">
        <w:rPr>
          <w:rFonts w:ascii="Arial" w:hAnsi="Arial" w:hint="cs"/>
          <w:noProof w:val="0"/>
          <w:rtl/>
        </w:rPr>
        <w:t>לטענתו, ה</w:t>
      </w:r>
      <w:r w:rsidR="00F16E03">
        <w:rPr>
          <w:rFonts w:ascii="Arial" w:hAnsi="Arial" w:hint="cs"/>
          <w:noProof w:val="0"/>
          <w:rtl/>
        </w:rPr>
        <w:t>משיבה</w:t>
      </w:r>
      <w:r w:rsidR="00CA7605">
        <w:rPr>
          <w:rFonts w:ascii="Arial" w:hAnsi="Arial" w:hint="cs"/>
          <w:noProof w:val="0"/>
          <w:rtl/>
        </w:rPr>
        <w:t xml:space="preserve"> הגישה את הערעור בתיק על ההחלטה לביטול פסק הדין בטענה כי עליה להגיש את הערעור עד ליום 19.2.2023 (45 ימים מיום 5.1.2023) וכי ההחלטה הדוחה את הבקשה לביטול פסק</w:t>
      </w:r>
      <w:r w:rsidR="007F3A72">
        <w:rPr>
          <w:rFonts w:ascii="Arial" w:hAnsi="Arial" w:hint="cs"/>
          <w:noProof w:val="0"/>
          <w:rtl/>
        </w:rPr>
        <w:t xml:space="preserve"> דין</w:t>
      </w:r>
      <w:r w:rsidR="00CA7605">
        <w:rPr>
          <w:rFonts w:ascii="Arial" w:hAnsi="Arial" w:hint="cs"/>
          <w:noProof w:val="0"/>
          <w:rtl/>
        </w:rPr>
        <w:t xml:space="preserve"> מהווה חלק בלתי נפרד מפסק הדין מיום 14.11.2022 ולא היא. </w:t>
      </w:r>
      <w:r w:rsidR="007F3A72">
        <w:rPr>
          <w:rFonts w:ascii="Arial" w:hAnsi="Arial" w:hint="cs"/>
          <w:noProof w:val="0"/>
          <w:rtl/>
        </w:rPr>
        <w:t xml:space="preserve">לדבריו, </w:t>
      </w:r>
      <w:r w:rsidR="00CA7605">
        <w:rPr>
          <w:rFonts w:ascii="Arial" w:hAnsi="Arial" w:hint="cs"/>
          <w:noProof w:val="0"/>
          <w:rtl/>
        </w:rPr>
        <w:t>מדובר בניסיון נפסד לרפא מחדל של ה</w:t>
      </w:r>
      <w:r w:rsidR="007F3A72">
        <w:rPr>
          <w:rFonts w:ascii="Arial" w:hAnsi="Arial" w:hint="cs"/>
          <w:noProof w:val="0"/>
          <w:rtl/>
        </w:rPr>
        <w:t>משיבה</w:t>
      </w:r>
      <w:r w:rsidR="00CA7605">
        <w:rPr>
          <w:rFonts w:ascii="Arial" w:hAnsi="Arial" w:hint="cs"/>
          <w:noProof w:val="0"/>
          <w:rtl/>
        </w:rPr>
        <w:t xml:space="preserve"> </w:t>
      </w:r>
      <w:r w:rsidR="007F3A72">
        <w:rPr>
          <w:rFonts w:ascii="Arial" w:hAnsi="Arial" w:hint="cs"/>
          <w:noProof w:val="0"/>
          <w:rtl/>
        </w:rPr>
        <w:t>שא</w:t>
      </w:r>
      <w:r w:rsidR="00F16E03">
        <w:rPr>
          <w:rFonts w:ascii="Arial" w:hAnsi="Arial" w:hint="cs"/>
          <w:noProof w:val="0"/>
          <w:rtl/>
        </w:rPr>
        <w:t>י</w:t>
      </w:r>
      <w:r w:rsidR="007F3A72">
        <w:rPr>
          <w:rFonts w:ascii="Arial" w:hAnsi="Arial" w:hint="cs"/>
          <w:noProof w:val="0"/>
          <w:rtl/>
        </w:rPr>
        <w:t>חרה בהגשת הערעור</w:t>
      </w:r>
      <w:r w:rsidR="00CA7605">
        <w:rPr>
          <w:rFonts w:ascii="Arial" w:hAnsi="Arial" w:hint="cs"/>
          <w:noProof w:val="0"/>
          <w:rtl/>
        </w:rPr>
        <w:t>. הוא טען כי המשיבה לא</w:t>
      </w:r>
      <w:r w:rsidRPr="00CA7605">
        <w:rPr>
          <w:rFonts w:ascii="Arial" w:hAnsi="Arial" w:hint="cs"/>
          <w:noProof w:val="0"/>
          <w:rtl/>
        </w:rPr>
        <w:t xml:space="preserve"> </w:t>
      </w:r>
      <w:r w:rsidR="00CA7605">
        <w:rPr>
          <w:rFonts w:ascii="Arial" w:hAnsi="Arial" w:hint="cs"/>
          <w:noProof w:val="0"/>
          <w:rtl/>
        </w:rPr>
        <w:t>הגישה בקשה למתן ארכה להגשת הערעור וממילא לא פרטה את טעמי האיח</w:t>
      </w:r>
      <w:r w:rsidR="00320FCB">
        <w:rPr>
          <w:rFonts w:ascii="Arial" w:hAnsi="Arial" w:hint="cs"/>
          <w:noProof w:val="0"/>
          <w:rtl/>
        </w:rPr>
        <w:t>ור</w:t>
      </w:r>
      <w:r w:rsidRPr="00CA7605">
        <w:rPr>
          <w:rFonts w:ascii="Arial" w:hAnsi="Arial" w:hint="cs"/>
          <w:noProof w:val="0"/>
          <w:rtl/>
        </w:rPr>
        <w:t>.</w:t>
      </w:r>
      <w:r w:rsidR="00320FCB">
        <w:rPr>
          <w:rFonts w:ascii="Arial" w:hAnsi="Arial" w:hint="cs"/>
          <w:noProof w:val="0"/>
          <w:rtl/>
        </w:rPr>
        <w:t xml:space="preserve"> המשיבה אף ידעה על הצורך במתן ארכה שהרי כבר במסגרת הבקשה לביטול פסק הדין</w:t>
      </w:r>
      <w:r w:rsidR="00F16E03">
        <w:rPr>
          <w:rFonts w:ascii="Arial" w:hAnsi="Arial" w:hint="cs"/>
          <w:noProof w:val="0"/>
          <w:rtl/>
        </w:rPr>
        <w:t>,</w:t>
      </w:r>
      <w:r w:rsidR="00320FCB">
        <w:rPr>
          <w:rFonts w:ascii="Arial" w:hAnsi="Arial" w:hint="cs"/>
          <w:noProof w:val="0"/>
          <w:rtl/>
        </w:rPr>
        <w:t xml:space="preserve"> ביקשה מבית משפט קמא להאריך את המועד להגשת הערעור. הוא הסביר כי בכל מקרה</w:t>
      </w:r>
      <w:r w:rsidR="00F16E03">
        <w:rPr>
          <w:rFonts w:ascii="Arial" w:hAnsi="Arial" w:hint="cs"/>
          <w:noProof w:val="0"/>
          <w:rtl/>
        </w:rPr>
        <w:t>,</w:t>
      </w:r>
      <w:r w:rsidR="00320FCB">
        <w:rPr>
          <w:rFonts w:ascii="Arial" w:hAnsi="Arial" w:hint="cs"/>
          <w:noProof w:val="0"/>
          <w:rtl/>
        </w:rPr>
        <w:t xml:space="preserve"> אין מקום להפעלת חריג של הארכת מועד. זאת</w:t>
      </w:r>
      <w:r w:rsidR="00F16E03">
        <w:rPr>
          <w:rFonts w:ascii="Arial" w:hAnsi="Arial" w:hint="cs"/>
          <w:noProof w:val="0"/>
          <w:rtl/>
        </w:rPr>
        <w:t>,</w:t>
      </w:r>
      <w:r w:rsidR="00320FCB">
        <w:rPr>
          <w:rFonts w:ascii="Arial" w:hAnsi="Arial" w:hint="cs"/>
          <w:noProof w:val="0"/>
          <w:rtl/>
        </w:rPr>
        <w:t xml:space="preserve"> בשל האינטרס הציבו</w:t>
      </w:r>
      <w:r w:rsidR="00F16E03">
        <w:rPr>
          <w:rFonts w:ascii="Arial" w:hAnsi="Arial" w:hint="cs"/>
          <w:noProof w:val="0"/>
          <w:rtl/>
        </w:rPr>
        <w:t xml:space="preserve">רי, עקרון סופיות הדיון ולנוכח </w:t>
      </w:r>
      <w:r w:rsidR="00320FCB">
        <w:rPr>
          <w:rFonts w:ascii="Arial" w:hAnsi="Arial" w:hint="cs"/>
          <w:noProof w:val="0"/>
          <w:rtl/>
        </w:rPr>
        <w:t xml:space="preserve">סיכויי הערעור </w:t>
      </w:r>
      <w:r w:rsidR="00F16E03">
        <w:rPr>
          <w:rFonts w:ascii="Arial" w:hAnsi="Arial" w:hint="cs"/>
          <w:noProof w:val="0"/>
          <w:rtl/>
        </w:rPr>
        <w:t>ה</w:t>
      </w:r>
      <w:r w:rsidR="00320FCB">
        <w:rPr>
          <w:rFonts w:ascii="Arial" w:hAnsi="Arial" w:hint="cs"/>
          <w:noProof w:val="0"/>
          <w:rtl/>
        </w:rPr>
        <w:t xml:space="preserve">קלושים. </w:t>
      </w:r>
    </w:p>
    <w:p w:rsidR="00320FCB" w:rsidRPr="00CA66FF" w:rsidRDefault="00320FCB" w:rsidP="00320FCB">
      <w:pPr>
        <w:pStyle w:val="ad"/>
        <w:spacing w:line="360" w:lineRule="auto"/>
        <w:jc w:val="both"/>
        <w:rPr>
          <w:rFonts w:ascii="Arial" w:hAnsi="Arial"/>
          <w:noProof w:val="0"/>
        </w:rPr>
      </w:pPr>
    </w:p>
    <w:p w:rsidR="00287FE0" w:rsidRDefault="00320FCB" w:rsidP="00461E6B">
      <w:pPr>
        <w:pStyle w:val="ad"/>
        <w:numPr>
          <w:ilvl w:val="0"/>
          <w:numId w:val="1"/>
        </w:numPr>
        <w:spacing w:line="360" w:lineRule="auto"/>
        <w:jc w:val="both"/>
        <w:rPr>
          <w:rFonts w:ascii="Arial" w:hAnsi="Arial"/>
          <w:noProof w:val="0"/>
        </w:rPr>
      </w:pPr>
      <w:r w:rsidRPr="00457B26">
        <w:rPr>
          <w:rFonts w:ascii="Arial" w:hAnsi="Arial" w:hint="cs"/>
          <w:noProof w:val="0"/>
          <w:rtl/>
        </w:rPr>
        <w:t>בתגובתה</w:t>
      </w:r>
      <w:r w:rsidR="00F16E03">
        <w:rPr>
          <w:rFonts w:ascii="Arial" w:hAnsi="Arial" w:hint="cs"/>
          <w:noProof w:val="0"/>
          <w:rtl/>
        </w:rPr>
        <w:t>,</w:t>
      </w:r>
      <w:r w:rsidRPr="00457B26">
        <w:rPr>
          <w:rFonts w:ascii="Arial" w:hAnsi="Arial" w:hint="cs"/>
          <w:noProof w:val="0"/>
          <w:rtl/>
        </w:rPr>
        <w:t xml:space="preserve"> </w:t>
      </w:r>
      <w:r w:rsidR="00E1265B" w:rsidRPr="00457B26">
        <w:rPr>
          <w:rFonts w:ascii="Arial" w:hAnsi="Arial" w:hint="cs"/>
          <w:noProof w:val="0"/>
          <w:rtl/>
        </w:rPr>
        <w:t xml:space="preserve">טוענת המשיבה כי </w:t>
      </w:r>
      <w:r w:rsidR="00A23CAC" w:rsidRPr="00457B26">
        <w:rPr>
          <w:rFonts w:ascii="Arial" w:hAnsi="Arial" w:hint="cs"/>
          <w:noProof w:val="0"/>
          <w:rtl/>
        </w:rPr>
        <w:t>הערעור הוגש על ההחלטה לביטו</w:t>
      </w:r>
      <w:r w:rsidR="00F16E03">
        <w:rPr>
          <w:rFonts w:ascii="Arial" w:hAnsi="Arial" w:hint="cs"/>
          <w:noProof w:val="0"/>
          <w:rtl/>
        </w:rPr>
        <w:t>ל פסק הדין שניתנה ביום 5.1.2023</w:t>
      </w:r>
      <w:r w:rsidR="00457B26" w:rsidRPr="00457B26">
        <w:rPr>
          <w:rFonts w:ascii="Arial" w:hAnsi="Arial" w:hint="cs"/>
          <w:noProof w:val="0"/>
          <w:rtl/>
        </w:rPr>
        <w:t xml:space="preserve"> </w:t>
      </w:r>
      <w:r w:rsidR="00F16E03">
        <w:rPr>
          <w:rFonts w:ascii="Arial" w:hAnsi="Arial" w:hint="cs"/>
          <w:noProof w:val="0"/>
          <w:rtl/>
        </w:rPr>
        <w:t>כפי</w:t>
      </w:r>
      <w:r w:rsidR="00457B26" w:rsidRPr="00457B26">
        <w:rPr>
          <w:rFonts w:ascii="Arial" w:hAnsi="Arial" w:hint="cs"/>
          <w:noProof w:val="0"/>
          <w:rtl/>
        </w:rPr>
        <w:t xml:space="preserve"> </w:t>
      </w:r>
      <w:r w:rsidR="00F16E03">
        <w:rPr>
          <w:rFonts w:ascii="Arial" w:hAnsi="Arial" w:hint="cs"/>
          <w:noProof w:val="0"/>
          <w:rtl/>
        </w:rPr>
        <w:t>ש</w:t>
      </w:r>
      <w:r w:rsidR="00457B26" w:rsidRPr="00457B26">
        <w:rPr>
          <w:rFonts w:ascii="Arial" w:hAnsi="Arial" w:hint="cs"/>
          <w:noProof w:val="0"/>
          <w:rtl/>
        </w:rPr>
        <w:t xml:space="preserve">צוין בכותרת כתב הערעור </w:t>
      </w:r>
      <w:r w:rsidR="00A23CAC" w:rsidRPr="00457B26">
        <w:rPr>
          <w:rFonts w:ascii="Arial" w:hAnsi="Arial" w:hint="cs"/>
          <w:noProof w:val="0"/>
          <w:rtl/>
        </w:rPr>
        <w:t>ולכן</w:t>
      </w:r>
      <w:r w:rsidR="00473D67" w:rsidRPr="00457B26">
        <w:rPr>
          <w:rFonts w:ascii="Arial" w:hAnsi="Arial" w:hint="cs"/>
          <w:noProof w:val="0"/>
          <w:rtl/>
        </w:rPr>
        <w:t xml:space="preserve"> לא היה צורך בבקשה להארכת מועד, שכן </w:t>
      </w:r>
      <w:r w:rsidR="00A23CAC" w:rsidRPr="00457B26">
        <w:rPr>
          <w:rFonts w:ascii="Arial" w:hAnsi="Arial" w:hint="cs"/>
          <w:noProof w:val="0"/>
          <w:rtl/>
        </w:rPr>
        <w:t xml:space="preserve">זה הוגש במועד. </w:t>
      </w:r>
      <w:r w:rsidR="00473D67" w:rsidRPr="00457B26">
        <w:rPr>
          <w:rFonts w:ascii="Arial" w:hAnsi="Arial" w:hint="cs"/>
          <w:noProof w:val="0"/>
          <w:rtl/>
        </w:rPr>
        <w:t>לדבריה, הבקשה לביטול פסק הדין הוגשה בתום לב ולא בשיהוי</w:t>
      </w:r>
      <w:r w:rsidR="00457B26">
        <w:rPr>
          <w:rFonts w:ascii="Arial" w:hAnsi="Arial" w:hint="cs"/>
          <w:noProof w:val="0"/>
          <w:rtl/>
        </w:rPr>
        <w:t xml:space="preserve"> ולפי הוראות סעיף 72 לחוק הירושה הקובע חריג המעניק לבית המשפט שנתן את צו הירושה </w:t>
      </w:r>
      <w:r w:rsidR="00457B26">
        <w:rPr>
          <w:rFonts w:ascii="Arial" w:hAnsi="Arial" w:hint="cs"/>
          <w:noProof w:val="0"/>
          <w:rtl/>
        </w:rPr>
        <w:lastRenderedPageBreak/>
        <w:t xml:space="preserve">סמכות </w:t>
      </w:r>
      <w:r w:rsidR="00B06003">
        <w:rPr>
          <w:rFonts w:ascii="Arial" w:hAnsi="Arial" w:hint="cs"/>
          <w:noProof w:val="0"/>
          <w:rtl/>
        </w:rPr>
        <w:t>לבטלו בהתקיים תנאים מסוימים שהמשיבה</w:t>
      </w:r>
      <w:r w:rsidR="00457B26">
        <w:rPr>
          <w:rFonts w:ascii="Arial" w:hAnsi="Arial" w:hint="cs"/>
          <w:noProof w:val="0"/>
          <w:rtl/>
        </w:rPr>
        <w:t xml:space="preserve"> הוכיחה במסגרת הבקשה לביטול. </w:t>
      </w:r>
      <w:r w:rsidR="00473D67" w:rsidRPr="00457B26">
        <w:rPr>
          <w:rFonts w:ascii="Arial" w:hAnsi="Arial" w:hint="cs"/>
          <w:noProof w:val="0"/>
          <w:rtl/>
        </w:rPr>
        <w:t xml:space="preserve"> </w:t>
      </w:r>
      <w:r w:rsidR="00457B26">
        <w:rPr>
          <w:rFonts w:ascii="Arial" w:hAnsi="Arial" w:hint="cs"/>
          <w:noProof w:val="0"/>
          <w:rtl/>
        </w:rPr>
        <w:t>לטענתה, משנדחתה בקשת הביטול</w:t>
      </w:r>
      <w:r w:rsidR="001B4A48">
        <w:rPr>
          <w:rFonts w:ascii="Arial" w:hAnsi="Arial" w:hint="cs"/>
          <w:noProof w:val="0"/>
          <w:rtl/>
        </w:rPr>
        <w:t>,</w:t>
      </w:r>
      <w:r w:rsidR="00457B26">
        <w:rPr>
          <w:rFonts w:ascii="Arial" w:hAnsi="Arial" w:hint="cs"/>
          <w:noProof w:val="0"/>
          <w:rtl/>
        </w:rPr>
        <w:t xml:space="preserve"> </w:t>
      </w:r>
      <w:r w:rsidR="00B03206" w:rsidRPr="00457B26">
        <w:rPr>
          <w:rFonts w:ascii="Arial" w:hAnsi="Arial" w:hint="cs"/>
          <w:noProof w:val="0"/>
          <w:rtl/>
        </w:rPr>
        <w:t xml:space="preserve">הוגש הערעור  במועדו, לאחר שבית המשפט קמא סיים את בירור המחלוקת שהובאה בפניו וסגר את התיק. </w:t>
      </w:r>
      <w:r w:rsidR="001B4A48">
        <w:rPr>
          <w:rFonts w:ascii="Arial" w:hAnsi="Arial" w:hint="cs"/>
          <w:noProof w:val="0"/>
          <w:rtl/>
        </w:rPr>
        <w:t>בנוסף,</w:t>
      </w:r>
      <w:r w:rsidR="00457B26">
        <w:rPr>
          <w:rFonts w:ascii="Arial" w:hAnsi="Arial" w:hint="cs"/>
          <w:noProof w:val="0"/>
          <w:rtl/>
        </w:rPr>
        <w:t xml:space="preserve"> </w:t>
      </w:r>
      <w:r w:rsidR="001B4A48">
        <w:rPr>
          <w:rFonts w:ascii="Arial" w:hAnsi="Arial" w:hint="cs"/>
          <w:noProof w:val="0"/>
          <w:rtl/>
        </w:rPr>
        <w:t xml:space="preserve">נטען </w:t>
      </w:r>
      <w:r w:rsidR="00457B26">
        <w:rPr>
          <w:rFonts w:ascii="Arial" w:hAnsi="Arial" w:hint="cs"/>
          <w:noProof w:val="0"/>
          <w:rtl/>
        </w:rPr>
        <w:t xml:space="preserve">כי ההחלטה הדוחה את הבקשה לביטול פסק הדין כמו </w:t>
      </w:r>
      <w:r w:rsidR="001B4A48">
        <w:rPr>
          <w:rFonts w:ascii="Arial" w:hAnsi="Arial" w:hint="cs"/>
          <w:noProof w:val="0"/>
          <w:rtl/>
        </w:rPr>
        <w:t xml:space="preserve">גם </w:t>
      </w:r>
      <w:r w:rsidR="00457B26">
        <w:rPr>
          <w:rFonts w:ascii="Arial" w:hAnsi="Arial" w:hint="cs"/>
          <w:noProof w:val="0"/>
          <w:rtl/>
        </w:rPr>
        <w:t>פסק הדין</w:t>
      </w:r>
      <w:r w:rsidR="001B4A48">
        <w:rPr>
          <w:rFonts w:ascii="Arial" w:hAnsi="Arial" w:hint="cs"/>
          <w:noProof w:val="0"/>
          <w:rtl/>
        </w:rPr>
        <w:t>,</w:t>
      </w:r>
      <w:r w:rsidR="00457B26">
        <w:rPr>
          <w:rFonts w:ascii="Arial" w:hAnsi="Arial" w:hint="cs"/>
          <w:noProof w:val="0"/>
          <w:rtl/>
        </w:rPr>
        <w:t xml:space="preserve"> ניתנה מבלי שבית משפט קמא ראה או שמע באופן ישיר את המשיבה</w:t>
      </w:r>
      <w:r w:rsidR="002C49B3">
        <w:rPr>
          <w:rFonts w:ascii="Arial" w:hAnsi="Arial" w:hint="cs"/>
          <w:noProof w:val="0"/>
          <w:rtl/>
        </w:rPr>
        <w:t xml:space="preserve"> ובכך יש פגיעה בכללי הצדק הטבעי. </w:t>
      </w:r>
      <w:r w:rsidR="00B03206" w:rsidRPr="00457B26">
        <w:rPr>
          <w:rFonts w:ascii="Arial" w:hAnsi="Arial" w:hint="cs"/>
          <w:noProof w:val="0"/>
          <w:rtl/>
        </w:rPr>
        <w:t xml:space="preserve">היא הוסיפה כי עברה שלוש </w:t>
      </w:r>
      <w:r w:rsidR="00457B26" w:rsidRPr="00457B26">
        <w:rPr>
          <w:rFonts w:ascii="Arial" w:hAnsi="Arial" w:hint="cs"/>
          <w:noProof w:val="0"/>
          <w:rtl/>
        </w:rPr>
        <w:t>משוכות</w:t>
      </w:r>
      <w:r w:rsidR="00B03206" w:rsidRPr="00457B26">
        <w:rPr>
          <w:rFonts w:ascii="Arial" w:hAnsi="Arial" w:hint="cs"/>
          <w:noProof w:val="0"/>
          <w:rtl/>
        </w:rPr>
        <w:t xml:space="preserve"> פרוצדוראליות בדרך להגשת הערעור: הערעור התקבל למרשם על ידי המזכיר המשפטי, ניתנה החלטה על ידי הרכב השופטים הדנים בערעור בו התבקשה תשובה לערעור</w:t>
      </w:r>
      <w:r w:rsidR="005C60D3" w:rsidRPr="00457B26">
        <w:rPr>
          <w:rFonts w:ascii="Arial" w:hAnsi="Arial" w:hint="cs"/>
          <w:noProof w:val="0"/>
          <w:rtl/>
        </w:rPr>
        <w:t xml:space="preserve">, נקבע מועד לדיון בחודש מאי </w:t>
      </w:r>
      <w:r w:rsidR="00461E6B">
        <w:rPr>
          <w:rFonts w:ascii="Arial" w:hAnsi="Arial" w:hint="cs"/>
          <w:noProof w:val="0"/>
          <w:rtl/>
        </w:rPr>
        <w:t>2023</w:t>
      </w:r>
      <w:r w:rsidR="005C60D3" w:rsidRPr="00457B26">
        <w:rPr>
          <w:rFonts w:ascii="Arial" w:hAnsi="Arial" w:hint="cs"/>
          <w:noProof w:val="0"/>
          <w:rtl/>
        </w:rPr>
        <w:t xml:space="preserve"> וניתנה החלטה המקנה את אחד מהסעדים שהתבקשו לעיכוב ביצוע. </w:t>
      </w:r>
    </w:p>
    <w:p w:rsidR="002C49B3" w:rsidRPr="002C49B3" w:rsidRDefault="002C49B3" w:rsidP="002C49B3">
      <w:pPr>
        <w:pStyle w:val="ad"/>
        <w:rPr>
          <w:rFonts w:ascii="Arial" w:hAnsi="Arial"/>
          <w:noProof w:val="0"/>
          <w:rtl/>
        </w:rPr>
      </w:pPr>
    </w:p>
    <w:p w:rsidR="002C49B3" w:rsidRDefault="002C49B3" w:rsidP="002C49B3">
      <w:pPr>
        <w:pStyle w:val="ad"/>
        <w:numPr>
          <w:ilvl w:val="0"/>
          <w:numId w:val="1"/>
        </w:numPr>
        <w:spacing w:line="360" w:lineRule="auto"/>
        <w:jc w:val="both"/>
        <w:rPr>
          <w:rFonts w:ascii="Arial" w:hAnsi="Arial"/>
          <w:noProof w:val="0"/>
        </w:rPr>
      </w:pPr>
      <w:r>
        <w:rPr>
          <w:rFonts w:ascii="Arial" w:hAnsi="Arial" w:hint="cs"/>
          <w:noProof w:val="0"/>
          <w:rtl/>
        </w:rPr>
        <w:t>בתשובתו</w:t>
      </w:r>
      <w:r w:rsidR="001B4A48">
        <w:rPr>
          <w:rFonts w:ascii="Arial" w:hAnsi="Arial" w:hint="cs"/>
          <w:noProof w:val="0"/>
          <w:rtl/>
        </w:rPr>
        <w:t>,</w:t>
      </w:r>
      <w:r>
        <w:rPr>
          <w:rFonts w:ascii="Arial" w:hAnsi="Arial" w:hint="cs"/>
          <w:noProof w:val="0"/>
          <w:rtl/>
        </w:rPr>
        <w:t xml:space="preserve"> טען המבקש כי אף אם תתקבל עמדת המשיבה כי ההחלטה הדוחה את </w:t>
      </w:r>
      <w:r w:rsidR="008C3B22">
        <w:rPr>
          <w:rFonts w:ascii="Arial" w:hAnsi="Arial" w:hint="cs"/>
          <w:noProof w:val="0"/>
          <w:rtl/>
        </w:rPr>
        <w:t>הבקשה לביטול פסק הדין היא חלק מ</w:t>
      </w:r>
      <w:r>
        <w:rPr>
          <w:rFonts w:ascii="Arial" w:hAnsi="Arial" w:hint="cs"/>
          <w:noProof w:val="0"/>
          <w:rtl/>
        </w:rPr>
        <w:t>פסק הדין</w:t>
      </w:r>
      <w:r w:rsidR="00B06003">
        <w:rPr>
          <w:rFonts w:ascii="Arial" w:hAnsi="Arial" w:hint="cs"/>
          <w:noProof w:val="0"/>
          <w:rtl/>
        </w:rPr>
        <w:t xml:space="preserve"> וגם אם סברה כי בית משפט קמא טע</w:t>
      </w:r>
      <w:r>
        <w:rPr>
          <w:rFonts w:ascii="Arial" w:hAnsi="Arial" w:hint="cs"/>
          <w:noProof w:val="0"/>
          <w:rtl/>
        </w:rPr>
        <w:t>ה בהחלטתו</w:t>
      </w:r>
      <w:r w:rsidR="00B06003">
        <w:rPr>
          <w:rFonts w:ascii="Arial" w:hAnsi="Arial" w:hint="cs"/>
          <w:noProof w:val="0"/>
          <w:rtl/>
        </w:rPr>
        <w:t>,</w:t>
      </w:r>
      <w:r>
        <w:rPr>
          <w:rFonts w:ascii="Arial" w:hAnsi="Arial" w:hint="cs"/>
          <w:noProof w:val="0"/>
          <w:rtl/>
        </w:rPr>
        <w:t xml:space="preserve"> היה עליה להגיש בקשת רשות ערעור ולא ערעור בזכות. </w:t>
      </w:r>
      <w:r w:rsidR="008C3B22">
        <w:rPr>
          <w:rFonts w:ascii="Arial" w:hAnsi="Arial" w:hint="cs"/>
          <w:noProof w:val="0"/>
          <w:rtl/>
        </w:rPr>
        <w:t>עוד טען</w:t>
      </w:r>
      <w:r w:rsidR="001B4A48">
        <w:rPr>
          <w:rFonts w:ascii="Arial" w:hAnsi="Arial" w:hint="cs"/>
          <w:noProof w:val="0"/>
          <w:rtl/>
        </w:rPr>
        <w:t>,</w:t>
      </w:r>
      <w:r w:rsidR="008C3B22">
        <w:rPr>
          <w:rFonts w:ascii="Arial" w:hAnsi="Arial" w:hint="cs"/>
          <w:noProof w:val="0"/>
          <w:rtl/>
        </w:rPr>
        <w:t xml:space="preserve"> כי אין מקום לניסיון המשיבה לסווג את הבקשה ככזו שהוגשה בהת</w:t>
      </w:r>
      <w:r w:rsidR="001B4A48">
        <w:rPr>
          <w:rFonts w:ascii="Arial" w:hAnsi="Arial" w:hint="cs"/>
          <w:noProof w:val="0"/>
          <w:rtl/>
        </w:rPr>
        <w:t>אם לסעיף 72 לחוק הירושה. לדבריו</w:t>
      </w:r>
      <w:r w:rsidR="00B06003">
        <w:rPr>
          <w:rFonts w:ascii="Arial" w:hAnsi="Arial" w:hint="cs"/>
          <w:noProof w:val="0"/>
          <w:rtl/>
        </w:rPr>
        <w:t>,</w:t>
      </w:r>
      <w:r w:rsidR="001B4A48">
        <w:rPr>
          <w:rFonts w:ascii="Arial" w:hAnsi="Arial" w:hint="cs"/>
          <w:noProof w:val="0"/>
          <w:rtl/>
        </w:rPr>
        <w:t xml:space="preserve"> </w:t>
      </w:r>
      <w:r w:rsidR="008C3B22">
        <w:rPr>
          <w:rFonts w:ascii="Arial" w:hAnsi="Arial" w:hint="cs"/>
          <w:noProof w:val="0"/>
          <w:rtl/>
        </w:rPr>
        <w:t>על פי הפסיקה</w:t>
      </w:r>
      <w:r w:rsidR="001B4A48">
        <w:rPr>
          <w:rFonts w:ascii="Arial" w:hAnsi="Arial" w:hint="cs"/>
          <w:noProof w:val="0"/>
          <w:rtl/>
        </w:rPr>
        <w:t>,</w:t>
      </w:r>
      <w:r w:rsidR="008C3B22">
        <w:rPr>
          <w:rFonts w:ascii="Arial" w:hAnsi="Arial" w:hint="cs"/>
          <w:noProof w:val="0"/>
          <w:rtl/>
        </w:rPr>
        <w:t xml:space="preserve"> בקשה כזו צריכה להיות מוגשת במסגרת ת</w:t>
      </w:r>
      <w:r w:rsidR="007F3A72">
        <w:rPr>
          <w:rFonts w:ascii="Arial" w:hAnsi="Arial" w:hint="cs"/>
          <w:noProof w:val="0"/>
          <w:rtl/>
        </w:rPr>
        <w:t xml:space="preserve">ובענה עצמאית. </w:t>
      </w:r>
    </w:p>
    <w:p w:rsidR="007F3A72" w:rsidRPr="007F3A72" w:rsidRDefault="007F3A72" w:rsidP="007F3A72">
      <w:pPr>
        <w:pStyle w:val="ad"/>
        <w:rPr>
          <w:rFonts w:ascii="Arial" w:hAnsi="Arial"/>
          <w:noProof w:val="0"/>
          <w:rtl/>
        </w:rPr>
      </w:pPr>
    </w:p>
    <w:p w:rsidR="00287FE0" w:rsidRDefault="00941805" w:rsidP="00941805">
      <w:pPr>
        <w:spacing w:line="360" w:lineRule="auto"/>
        <w:ind w:firstLine="360"/>
        <w:jc w:val="both"/>
        <w:rPr>
          <w:rFonts w:ascii="Arial" w:hAnsi="Arial"/>
          <w:b/>
          <w:bCs/>
          <w:noProof w:val="0"/>
          <w:u w:val="single"/>
          <w:rtl/>
        </w:rPr>
      </w:pPr>
      <w:r>
        <w:rPr>
          <w:rFonts w:ascii="Arial" w:hAnsi="Arial" w:hint="cs"/>
          <w:b/>
          <w:bCs/>
          <w:noProof w:val="0"/>
          <w:u w:val="single"/>
          <w:rtl/>
        </w:rPr>
        <w:t xml:space="preserve"> </w:t>
      </w:r>
      <w:r w:rsidR="00287FE0">
        <w:rPr>
          <w:rFonts w:ascii="Arial" w:hAnsi="Arial"/>
          <w:b/>
          <w:bCs/>
          <w:noProof w:val="0"/>
          <w:u w:val="single"/>
          <w:rtl/>
        </w:rPr>
        <w:t>דיון והכרעה</w:t>
      </w:r>
    </w:p>
    <w:p w:rsidR="00287FE0" w:rsidRDefault="00287FE0" w:rsidP="00287FE0">
      <w:pPr>
        <w:pStyle w:val="ad"/>
        <w:rPr>
          <w:rFonts w:ascii="Arial" w:hAnsi="Arial"/>
          <w:noProof w:val="0"/>
        </w:rPr>
      </w:pPr>
    </w:p>
    <w:p w:rsidR="00AA3362" w:rsidRDefault="005C60D3" w:rsidP="00D75BE4">
      <w:pPr>
        <w:pStyle w:val="ad"/>
        <w:numPr>
          <w:ilvl w:val="0"/>
          <w:numId w:val="1"/>
        </w:numPr>
        <w:spacing w:line="360" w:lineRule="auto"/>
        <w:jc w:val="both"/>
        <w:rPr>
          <w:rFonts w:ascii="David" w:hAnsi="David"/>
          <w:color w:val="000000"/>
        </w:rPr>
      </w:pPr>
      <w:r w:rsidRPr="00B06003">
        <w:rPr>
          <w:rFonts w:ascii="Arial" w:hAnsi="Arial"/>
          <w:noProof w:val="0"/>
          <w:rtl/>
        </w:rPr>
        <w:t xml:space="preserve">לאחר שעיינתי </w:t>
      </w:r>
      <w:r w:rsidR="00B06003" w:rsidRPr="00B06003">
        <w:rPr>
          <w:rFonts w:ascii="Arial" w:hAnsi="Arial" w:hint="cs"/>
          <w:noProof w:val="0"/>
          <w:rtl/>
        </w:rPr>
        <w:t>בהודעת הערעור ו</w:t>
      </w:r>
      <w:r w:rsidRPr="00B06003">
        <w:rPr>
          <w:rFonts w:ascii="Arial" w:hAnsi="Arial"/>
          <w:noProof w:val="0"/>
          <w:rtl/>
        </w:rPr>
        <w:t>ב</w:t>
      </w:r>
      <w:r w:rsidR="001B4A48">
        <w:rPr>
          <w:rFonts w:ascii="Arial" w:hAnsi="Arial" w:hint="cs"/>
          <w:noProof w:val="0"/>
          <w:rtl/>
        </w:rPr>
        <w:t xml:space="preserve">טענות הצדדים, </w:t>
      </w:r>
      <w:r w:rsidR="00287FE0" w:rsidRPr="00B06003">
        <w:rPr>
          <w:rFonts w:ascii="Arial" w:hAnsi="Arial"/>
          <w:noProof w:val="0"/>
          <w:rtl/>
        </w:rPr>
        <w:t>החלטתי ל</w:t>
      </w:r>
      <w:r w:rsidRPr="00B06003">
        <w:rPr>
          <w:rFonts w:ascii="Arial" w:hAnsi="Arial" w:hint="cs"/>
          <w:noProof w:val="0"/>
          <w:rtl/>
        </w:rPr>
        <w:t>דחות את הבקשה</w:t>
      </w:r>
      <w:r w:rsidR="00B06003" w:rsidRPr="00B06003">
        <w:rPr>
          <w:rFonts w:ascii="Arial" w:hAnsi="Arial" w:hint="cs"/>
          <w:noProof w:val="0"/>
          <w:rtl/>
        </w:rPr>
        <w:t xml:space="preserve"> למחיקת הערעור</w:t>
      </w:r>
      <w:r w:rsidR="009D532D" w:rsidRPr="00B06003">
        <w:rPr>
          <w:rFonts w:ascii="Arial" w:hAnsi="Arial" w:hint="cs"/>
          <w:noProof w:val="0"/>
          <w:rtl/>
        </w:rPr>
        <w:t xml:space="preserve">. </w:t>
      </w:r>
    </w:p>
    <w:p w:rsidR="00B06003" w:rsidRPr="00B06003" w:rsidRDefault="00B06003" w:rsidP="00B06003">
      <w:pPr>
        <w:pStyle w:val="ad"/>
        <w:spacing w:line="360" w:lineRule="auto"/>
        <w:jc w:val="both"/>
        <w:rPr>
          <w:rFonts w:ascii="David" w:hAnsi="David"/>
          <w:color w:val="000000"/>
          <w:rtl/>
        </w:rPr>
      </w:pPr>
    </w:p>
    <w:p w:rsidR="0037082A" w:rsidRDefault="00B06003" w:rsidP="00461E6B">
      <w:pPr>
        <w:pStyle w:val="ad"/>
        <w:numPr>
          <w:ilvl w:val="0"/>
          <w:numId w:val="1"/>
        </w:numPr>
        <w:spacing w:line="360" w:lineRule="auto"/>
        <w:jc w:val="both"/>
        <w:rPr>
          <w:rFonts w:ascii="David" w:hAnsi="David"/>
          <w:color w:val="000000"/>
        </w:rPr>
      </w:pPr>
      <w:r w:rsidRPr="0044392E">
        <w:rPr>
          <w:rFonts w:ascii="David" w:hAnsi="David" w:hint="cs"/>
          <w:color w:val="000000"/>
          <w:rtl/>
        </w:rPr>
        <w:t>על אתר אומר כי אכן צודק המבקש כי המשיבה א</w:t>
      </w:r>
      <w:r w:rsidR="001B4A48" w:rsidRPr="0044392E">
        <w:rPr>
          <w:rFonts w:ascii="David" w:hAnsi="David" w:hint="cs"/>
          <w:color w:val="000000"/>
          <w:rtl/>
        </w:rPr>
        <w:t>י</w:t>
      </w:r>
      <w:r w:rsidR="00461E6B">
        <w:rPr>
          <w:rFonts w:ascii="David" w:hAnsi="David" w:hint="cs"/>
          <w:color w:val="000000"/>
          <w:rtl/>
        </w:rPr>
        <w:t xml:space="preserve">חרה בהגשת הערעור על פסק הדין. </w:t>
      </w:r>
      <w:r w:rsidRPr="0044392E">
        <w:rPr>
          <w:rFonts w:ascii="David" w:hAnsi="David" w:hint="cs"/>
          <w:color w:val="000000"/>
          <w:rtl/>
        </w:rPr>
        <w:t>כפי שציינה כב' השופטת הלר כר</w:t>
      </w:r>
      <w:r w:rsidR="001B4A48" w:rsidRPr="0044392E">
        <w:rPr>
          <w:rFonts w:ascii="David" w:hAnsi="David" w:hint="cs"/>
          <w:color w:val="000000"/>
          <w:rtl/>
        </w:rPr>
        <w:t>יש בהחלטתה,</w:t>
      </w:r>
      <w:r w:rsidRPr="0044392E">
        <w:rPr>
          <w:rFonts w:ascii="David" w:hAnsi="David" w:hint="cs"/>
          <w:color w:val="000000"/>
          <w:rtl/>
        </w:rPr>
        <w:t xml:space="preserve"> אין ה</w:t>
      </w:r>
      <w:r w:rsidR="0037082A" w:rsidRPr="0044392E">
        <w:rPr>
          <w:rFonts w:ascii="David" w:hAnsi="David" w:hint="cs"/>
          <w:color w:val="000000"/>
          <w:rtl/>
        </w:rPr>
        <w:t xml:space="preserve">מדובר </w:t>
      </w:r>
      <w:r w:rsidRPr="0044392E">
        <w:rPr>
          <w:rFonts w:ascii="David" w:hAnsi="David" w:hint="cs"/>
          <w:color w:val="000000"/>
          <w:rtl/>
        </w:rPr>
        <w:t>בפסק דין שניתן במעמד צד אחד</w:t>
      </w:r>
      <w:r w:rsidR="0037082A" w:rsidRPr="0044392E">
        <w:rPr>
          <w:rFonts w:ascii="David" w:hAnsi="David" w:hint="cs"/>
          <w:color w:val="000000"/>
          <w:rtl/>
        </w:rPr>
        <w:t xml:space="preserve"> אלא בפסק דין שניתן לאחר שנמסרה הודעה מטעם המש</w:t>
      </w:r>
      <w:r w:rsidR="002301BE" w:rsidRPr="0044392E">
        <w:rPr>
          <w:rFonts w:ascii="David" w:hAnsi="David" w:hint="cs"/>
          <w:color w:val="000000"/>
          <w:rtl/>
        </w:rPr>
        <w:t xml:space="preserve">יבה </w:t>
      </w:r>
      <w:r w:rsidR="001B4A48" w:rsidRPr="0044392E">
        <w:rPr>
          <w:rFonts w:ascii="David" w:hAnsi="David" w:hint="cs"/>
          <w:color w:val="000000"/>
          <w:rtl/>
        </w:rPr>
        <w:t>ו</w:t>
      </w:r>
      <w:r w:rsidR="002301BE" w:rsidRPr="0044392E">
        <w:rPr>
          <w:rFonts w:ascii="David" w:hAnsi="David" w:hint="cs"/>
          <w:color w:val="000000"/>
          <w:rtl/>
        </w:rPr>
        <w:t>בעק</w:t>
      </w:r>
      <w:r w:rsidR="0037082A" w:rsidRPr="0044392E">
        <w:rPr>
          <w:rFonts w:ascii="David" w:hAnsi="David" w:hint="cs"/>
          <w:color w:val="000000"/>
          <w:rtl/>
        </w:rPr>
        <w:t>ב</w:t>
      </w:r>
      <w:r w:rsidR="001B4A48" w:rsidRPr="0044392E">
        <w:rPr>
          <w:rFonts w:ascii="David" w:hAnsi="David" w:hint="cs"/>
          <w:color w:val="000000"/>
          <w:rtl/>
        </w:rPr>
        <w:t>ותיה ניתן פסק דין מנומק</w:t>
      </w:r>
      <w:r w:rsidR="0037082A" w:rsidRPr="0044392E">
        <w:rPr>
          <w:rFonts w:ascii="David" w:hAnsi="David" w:hint="cs"/>
          <w:color w:val="000000"/>
          <w:rtl/>
        </w:rPr>
        <w:t>.</w:t>
      </w:r>
      <w:r w:rsidR="002C541D" w:rsidRPr="0044392E">
        <w:rPr>
          <w:rFonts w:ascii="David" w:hAnsi="David" w:hint="cs"/>
          <w:color w:val="000000"/>
          <w:rtl/>
        </w:rPr>
        <w:t xml:space="preserve"> עם זאת</w:t>
      </w:r>
      <w:r w:rsidR="00461E6B">
        <w:rPr>
          <w:rFonts w:ascii="David" w:hAnsi="David" w:hint="cs"/>
          <w:color w:val="000000"/>
          <w:rtl/>
        </w:rPr>
        <w:t>,</w:t>
      </w:r>
      <w:r w:rsidR="002C541D" w:rsidRPr="0044392E">
        <w:rPr>
          <w:rFonts w:ascii="David" w:hAnsi="David" w:hint="cs"/>
          <w:color w:val="000000"/>
          <w:rtl/>
        </w:rPr>
        <w:t xml:space="preserve"> איני מקבל את טענת המבקש כי המועד האחרון להגשת הערעור חל ביום 29.12.2022 או אף ביום 30.12.2022. מעיון בתיק בית משפט קמא עולה כי המשיבה צפתה בפסק הדי</w:t>
      </w:r>
      <w:r w:rsidR="0044392E" w:rsidRPr="0044392E">
        <w:rPr>
          <w:rFonts w:ascii="David" w:hAnsi="David" w:hint="cs"/>
          <w:color w:val="000000"/>
          <w:rtl/>
        </w:rPr>
        <w:t>ן ביו</w:t>
      </w:r>
      <w:r w:rsidR="002C541D" w:rsidRPr="0044392E">
        <w:rPr>
          <w:rFonts w:ascii="David" w:hAnsi="David" w:hint="cs"/>
          <w:color w:val="000000"/>
          <w:rtl/>
        </w:rPr>
        <w:t>ם 14.11.202</w:t>
      </w:r>
      <w:r w:rsidR="00B60B47">
        <w:rPr>
          <w:rFonts w:ascii="David" w:hAnsi="David" w:hint="cs"/>
          <w:color w:val="000000"/>
          <w:rtl/>
        </w:rPr>
        <w:t>2</w:t>
      </w:r>
      <w:r w:rsidR="002C541D" w:rsidRPr="0044392E">
        <w:rPr>
          <w:rFonts w:ascii="David" w:hAnsi="David" w:hint="cs"/>
          <w:color w:val="000000"/>
          <w:rtl/>
        </w:rPr>
        <w:t xml:space="preserve"> שעה 18:10. בהתאם לתקנה 161 </w:t>
      </w:r>
      <w:r w:rsidR="006C423C" w:rsidRPr="0044392E">
        <w:rPr>
          <w:rFonts w:ascii="David" w:hAnsi="David" w:hint="cs"/>
          <w:color w:val="000000"/>
          <w:rtl/>
        </w:rPr>
        <w:t xml:space="preserve">(1) (ד) </w:t>
      </w:r>
      <w:r w:rsidR="00461E6B">
        <w:rPr>
          <w:rFonts w:ascii="David" w:hAnsi="David" w:hint="cs"/>
          <w:color w:val="000000"/>
          <w:rtl/>
        </w:rPr>
        <w:t xml:space="preserve">לתקנות סדר הדין האזרחי, </w:t>
      </w:r>
      <w:r w:rsidR="006C423C" w:rsidRPr="0044392E">
        <w:rPr>
          <w:rFonts w:ascii="David" w:hAnsi="David" w:hint="cs"/>
          <w:color w:val="000000"/>
          <w:rtl/>
        </w:rPr>
        <w:t>מאחר שה</w:t>
      </w:r>
      <w:r w:rsidR="0044392E" w:rsidRPr="0044392E">
        <w:rPr>
          <w:rFonts w:ascii="David" w:hAnsi="David" w:hint="cs"/>
          <w:color w:val="000000"/>
          <w:rtl/>
        </w:rPr>
        <w:t xml:space="preserve">משיבה צפתה בפסק הדין </w:t>
      </w:r>
      <w:r w:rsidR="006C423C" w:rsidRPr="0044392E">
        <w:rPr>
          <w:rFonts w:ascii="David" w:hAnsi="David" w:hint="cs"/>
          <w:color w:val="000000"/>
          <w:rtl/>
        </w:rPr>
        <w:t xml:space="preserve">לאחר השעה 17:00 יש לראות </w:t>
      </w:r>
      <w:r w:rsidR="00B60B47">
        <w:rPr>
          <w:rFonts w:ascii="David" w:hAnsi="David" w:hint="cs"/>
          <w:color w:val="000000"/>
          <w:rtl/>
        </w:rPr>
        <w:t xml:space="preserve">את </w:t>
      </w:r>
      <w:r w:rsidR="006C423C" w:rsidRPr="0044392E">
        <w:rPr>
          <w:rFonts w:ascii="David" w:hAnsi="David" w:hint="cs"/>
          <w:color w:val="000000"/>
          <w:rtl/>
        </w:rPr>
        <w:t xml:space="preserve"> </w:t>
      </w:r>
      <w:r w:rsidR="00B60B47">
        <w:rPr>
          <w:rFonts w:ascii="David" w:hAnsi="David" w:hint="cs"/>
          <w:color w:val="000000"/>
          <w:rtl/>
        </w:rPr>
        <w:t xml:space="preserve">ההמצאה כאילו </w:t>
      </w:r>
      <w:r w:rsidR="006C423C" w:rsidRPr="0044392E">
        <w:rPr>
          <w:rFonts w:ascii="David" w:hAnsi="David" w:hint="cs"/>
          <w:color w:val="000000"/>
          <w:rtl/>
        </w:rPr>
        <w:t xml:space="preserve">בוצעה ביום למחרת, קרי ביום 15.11.2022, הוא המועד בו צפה גם בא כוחה בפסק הדין. תקופת 45 הימים מסתיימת ביום 30.12.2022 שחל ביום שישי ולכן המועד האחרון להגשת הערעור חל ביום א' 1.1.2023.  </w:t>
      </w:r>
    </w:p>
    <w:p w:rsidR="0044392E" w:rsidRPr="0044392E" w:rsidRDefault="0044392E" w:rsidP="0044392E">
      <w:pPr>
        <w:pStyle w:val="ad"/>
        <w:rPr>
          <w:rFonts w:ascii="David" w:hAnsi="David"/>
          <w:color w:val="000000"/>
          <w:rtl/>
        </w:rPr>
      </w:pPr>
    </w:p>
    <w:p w:rsidR="0044392E" w:rsidRPr="0044392E" w:rsidRDefault="0044392E" w:rsidP="0044392E">
      <w:pPr>
        <w:pStyle w:val="ad"/>
        <w:spacing w:line="360" w:lineRule="auto"/>
        <w:jc w:val="both"/>
        <w:rPr>
          <w:rFonts w:ascii="David" w:hAnsi="David"/>
          <w:color w:val="000000"/>
          <w:rtl/>
        </w:rPr>
      </w:pPr>
    </w:p>
    <w:p w:rsidR="00B06003" w:rsidRDefault="0037082A" w:rsidP="001B4A48">
      <w:pPr>
        <w:pStyle w:val="ad"/>
        <w:numPr>
          <w:ilvl w:val="0"/>
          <w:numId w:val="1"/>
        </w:numPr>
        <w:spacing w:line="360" w:lineRule="auto"/>
        <w:jc w:val="both"/>
        <w:rPr>
          <w:rFonts w:ascii="David" w:hAnsi="David"/>
          <w:color w:val="000000"/>
        </w:rPr>
      </w:pPr>
      <w:r>
        <w:rPr>
          <w:rFonts w:ascii="David" w:hAnsi="David" w:hint="cs"/>
          <w:color w:val="000000"/>
          <w:rtl/>
        </w:rPr>
        <w:lastRenderedPageBreak/>
        <w:t>עוד אציין כי אי</w:t>
      </w:r>
      <w:r w:rsidR="001B4A48">
        <w:rPr>
          <w:rFonts w:ascii="David" w:hAnsi="David" w:hint="cs"/>
          <w:color w:val="000000"/>
          <w:rtl/>
        </w:rPr>
        <w:t>ני מקבל את טענת המשיבה כי עצם העובדה ש</w:t>
      </w:r>
      <w:r>
        <w:rPr>
          <w:rFonts w:ascii="David" w:hAnsi="David" w:hint="cs"/>
          <w:color w:val="000000"/>
          <w:rtl/>
        </w:rPr>
        <w:t>עברה 3 משוכות פרוצדורליות כנטען על ידה</w:t>
      </w:r>
      <w:r w:rsidR="001B4A48">
        <w:rPr>
          <w:rFonts w:ascii="David" w:hAnsi="David" w:hint="cs"/>
          <w:color w:val="000000"/>
          <w:rtl/>
        </w:rPr>
        <w:t>, מצביעה</w:t>
      </w:r>
      <w:r>
        <w:rPr>
          <w:rFonts w:ascii="David" w:hAnsi="David" w:hint="cs"/>
          <w:color w:val="000000"/>
          <w:rtl/>
        </w:rPr>
        <w:t xml:space="preserve"> על כך שלא היה איחור בהגשת הערעור. המ</w:t>
      </w:r>
      <w:r w:rsidR="001B4A48">
        <w:rPr>
          <w:rFonts w:ascii="David" w:hAnsi="David" w:hint="cs"/>
          <w:color w:val="000000"/>
          <w:rtl/>
        </w:rPr>
        <w:t xml:space="preserve">שיבה ציינה במפורש בעמוד </w:t>
      </w:r>
      <w:r>
        <w:rPr>
          <w:rFonts w:ascii="David" w:hAnsi="David" w:hint="cs"/>
          <w:color w:val="000000"/>
          <w:rtl/>
        </w:rPr>
        <w:t>הראשון להודעת הערע</w:t>
      </w:r>
      <w:r w:rsidR="001B4A48">
        <w:rPr>
          <w:rFonts w:ascii="David" w:hAnsi="David" w:hint="cs"/>
          <w:color w:val="000000"/>
          <w:rtl/>
        </w:rPr>
        <w:t xml:space="preserve">ור שהגישה כי המועד האחרון להגשתו </w:t>
      </w:r>
      <w:r>
        <w:rPr>
          <w:rFonts w:ascii="David" w:hAnsi="David" w:hint="cs"/>
          <w:color w:val="000000"/>
          <w:rtl/>
        </w:rPr>
        <w:t>הוא 19.2.2023. לפיכך</w:t>
      </w:r>
      <w:r w:rsidR="001B4A48">
        <w:rPr>
          <w:rFonts w:ascii="David" w:hAnsi="David" w:hint="cs"/>
          <w:color w:val="000000"/>
          <w:rtl/>
        </w:rPr>
        <w:t>,</w:t>
      </w:r>
      <w:r>
        <w:rPr>
          <w:rFonts w:ascii="David" w:hAnsi="David" w:hint="cs"/>
          <w:color w:val="000000"/>
          <w:rtl/>
        </w:rPr>
        <w:t xml:space="preserve"> כל עוד </w:t>
      </w:r>
      <w:r w:rsidR="002301BE">
        <w:rPr>
          <w:rFonts w:ascii="David" w:hAnsi="David" w:hint="cs"/>
          <w:color w:val="000000"/>
          <w:rtl/>
        </w:rPr>
        <w:t>לא הועלתה מטעם המבקש טענה כי הערע</w:t>
      </w:r>
      <w:r>
        <w:rPr>
          <w:rFonts w:ascii="David" w:hAnsi="David" w:hint="cs"/>
          <w:color w:val="000000"/>
          <w:rtl/>
        </w:rPr>
        <w:t>ור הוגש באיחור</w:t>
      </w:r>
      <w:r w:rsidR="001B4A48">
        <w:rPr>
          <w:rFonts w:ascii="David" w:hAnsi="David" w:hint="cs"/>
          <w:color w:val="000000"/>
          <w:rtl/>
        </w:rPr>
        <w:t>,</w:t>
      </w:r>
      <w:r>
        <w:rPr>
          <w:rFonts w:ascii="David" w:hAnsi="David" w:hint="cs"/>
          <w:color w:val="000000"/>
          <w:rtl/>
        </w:rPr>
        <w:t xml:space="preserve"> לא היה מקום שנושא האיחור יועלה מיוזמת המזכיר המשפטי או </w:t>
      </w:r>
      <w:r w:rsidR="002301BE">
        <w:rPr>
          <w:rFonts w:ascii="David" w:hAnsi="David" w:hint="cs"/>
          <w:color w:val="000000"/>
          <w:rtl/>
        </w:rPr>
        <w:t>הרכב השופטים.</w:t>
      </w:r>
    </w:p>
    <w:p w:rsidR="002301BE" w:rsidRPr="002301BE" w:rsidRDefault="002301BE" w:rsidP="002301BE">
      <w:pPr>
        <w:pStyle w:val="ad"/>
        <w:rPr>
          <w:rFonts w:ascii="David" w:hAnsi="David"/>
          <w:color w:val="000000"/>
          <w:rtl/>
        </w:rPr>
      </w:pPr>
    </w:p>
    <w:p w:rsidR="003579AA" w:rsidRDefault="002301BE" w:rsidP="00461E6B">
      <w:pPr>
        <w:pStyle w:val="ad"/>
        <w:numPr>
          <w:ilvl w:val="0"/>
          <w:numId w:val="1"/>
        </w:numPr>
        <w:spacing w:line="360" w:lineRule="auto"/>
        <w:jc w:val="both"/>
        <w:rPr>
          <w:rFonts w:ascii="David" w:hAnsi="David"/>
          <w:color w:val="000000"/>
        </w:rPr>
      </w:pPr>
      <w:r>
        <w:rPr>
          <w:rFonts w:ascii="David" w:hAnsi="David" w:hint="cs"/>
          <w:color w:val="000000"/>
          <w:rtl/>
        </w:rPr>
        <w:t>לעניין הטענה כי סעיף 72 לחוק הירושה מאפשר הגשת בקשה לביטול פסק דין</w:t>
      </w:r>
      <w:r w:rsidR="001B4A48">
        <w:rPr>
          <w:rFonts w:ascii="David" w:hAnsi="David" w:hint="cs"/>
          <w:color w:val="000000"/>
          <w:rtl/>
        </w:rPr>
        <w:t>, אציין מבלי לק</w:t>
      </w:r>
      <w:r>
        <w:rPr>
          <w:rFonts w:ascii="David" w:hAnsi="David" w:hint="cs"/>
          <w:color w:val="000000"/>
          <w:rtl/>
        </w:rPr>
        <w:t>ב</w:t>
      </w:r>
      <w:r w:rsidR="001B4A48">
        <w:rPr>
          <w:rFonts w:ascii="David" w:hAnsi="David" w:hint="cs"/>
          <w:color w:val="000000"/>
          <w:rtl/>
        </w:rPr>
        <w:t>ו</w:t>
      </w:r>
      <w:r>
        <w:rPr>
          <w:rFonts w:ascii="David" w:hAnsi="David" w:hint="cs"/>
          <w:color w:val="000000"/>
          <w:rtl/>
        </w:rPr>
        <w:t>ע מסמרות</w:t>
      </w:r>
      <w:r w:rsidR="001B4A48">
        <w:rPr>
          <w:rFonts w:ascii="David" w:hAnsi="David" w:hint="cs"/>
          <w:color w:val="000000"/>
          <w:rtl/>
        </w:rPr>
        <w:t>,</w:t>
      </w:r>
      <w:r>
        <w:rPr>
          <w:rFonts w:ascii="David" w:hAnsi="David" w:hint="cs"/>
          <w:color w:val="000000"/>
          <w:rtl/>
        </w:rPr>
        <w:t xml:space="preserve"> כי </w:t>
      </w:r>
      <w:r w:rsidR="001B4A48">
        <w:rPr>
          <w:rFonts w:ascii="David" w:hAnsi="David" w:hint="cs"/>
          <w:color w:val="000000"/>
          <w:rtl/>
        </w:rPr>
        <w:t xml:space="preserve">כפי שקבע בית משפט קמא, </w:t>
      </w:r>
      <w:r>
        <w:rPr>
          <w:rFonts w:ascii="David" w:hAnsi="David" w:hint="cs"/>
          <w:color w:val="000000"/>
          <w:rtl/>
        </w:rPr>
        <w:t>מעבר לכך שהמשיבה לא ה</w:t>
      </w:r>
      <w:r w:rsidR="001B4A48">
        <w:rPr>
          <w:rFonts w:ascii="David" w:hAnsi="David" w:hint="cs"/>
          <w:color w:val="000000"/>
          <w:rtl/>
        </w:rPr>
        <w:t>צב</w:t>
      </w:r>
      <w:r w:rsidR="004F41A6">
        <w:rPr>
          <w:rFonts w:ascii="David" w:hAnsi="David" w:hint="cs"/>
          <w:color w:val="000000"/>
          <w:rtl/>
        </w:rPr>
        <w:t xml:space="preserve">יעה על עובדה או </w:t>
      </w:r>
      <w:r>
        <w:rPr>
          <w:rFonts w:ascii="David" w:hAnsi="David" w:hint="cs"/>
          <w:color w:val="000000"/>
          <w:rtl/>
        </w:rPr>
        <w:t>טענה שלא היה</w:t>
      </w:r>
      <w:r w:rsidR="003579AA">
        <w:rPr>
          <w:rFonts w:ascii="David" w:hAnsi="David" w:hint="cs"/>
          <w:color w:val="000000"/>
          <w:rtl/>
        </w:rPr>
        <w:t xml:space="preserve"> בא</w:t>
      </w:r>
      <w:r w:rsidR="004F41A6">
        <w:rPr>
          <w:rFonts w:ascii="David" w:hAnsi="David" w:hint="cs"/>
          <w:color w:val="000000"/>
          <w:rtl/>
        </w:rPr>
        <w:t>פש</w:t>
      </w:r>
      <w:r w:rsidR="003579AA">
        <w:rPr>
          <w:rFonts w:ascii="David" w:hAnsi="David" w:hint="cs"/>
          <w:color w:val="000000"/>
          <w:rtl/>
        </w:rPr>
        <w:t>רותה להביא לפני מתן צו הירו</w:t>
      </w:r>
      <w:r w:rsidR="004F41A6">
        <w:rPr>
          <w:rFonts w:ascii="David" w:hAnsi="David" w:hint="cs"/>
          <w:color w:val="000000"/>
          <w:rtl/>
        </w:rPr>
        <w:t>ש</w:t>
      </w:r>
      <w:r w:rsidR="003579AA">
        <w:rPr>
          <w:rFonts w:ascii="David" w:hAnsi="David" w:hint="cs"/>
          <w:color w:val="000000"/>
          <w:rtl/>
        </w:rPr>
        <w:t>ה</w:t>
      </w:r>
      <w:r w:rsidR="004F41A6">
        <w:rPr>
          <w:rFonts w:ascii="David" w:hAnsi="David" w:hint="cs"/>
          <w:color w:val="000000"/>
          <w:rtl/>
        </w:rPr>
        <w:t>,</w:t>
      </w:r>
      <w:r w:rsidR="003579AA">
        <w:rPr>
          <w:rFonts w:ascii="David" w:hAnsi="David" w:hint="cs"/>
          <w:color w:val="000000"/>
          <w:rtl/>
        </w:rPr>
        <w:t xml:space="preserve"> הרי שהיה עליה ל</w:t>
      </w:r>
      <w:r w:rsidR="004F41A6">
        <w:rPr>
          <w:rFonts w:ascii="David" w:hAnsi="David" w:hint="cs"/>
          <w:color w:val="000000"/>
          <w:rtl/>
        </w:rPr>
        <w:t xml:space="preserve">נקוט הליך עצמאי ולא להגיש בקשה </w:t>
      </w:r>
      <w:r w:rsidR="003579AA">
        <w:rPr>
          <w:rFonts w:ascii="David" w:hAnsi="David" w:hint="cs"/>
          <w:color w:val="000000"/>
          <w:rtl/>
        </w:rPr>
        <w:t>ל</w:t>
      </w:r>
      <w:r w:rsidR="004F41A6">
        <w:rPr>
          <w:rFonts w:ascii="David" w:hAnsi="David" w:hint="cs"/>
          <w:color w:val="000000"/>
          <w:rtl/>
        </w:rPr>
        <w:t>ב</w:t>
      </w:r>
      <w:r w:rsidR="003579AA">
        <w:rPr>
          <w:rFonts w:ascii="David" w:hAnsi="David" w:hint="cs"/>
          <w:color w:val="000000"/>
          <w:rtl/>
        </w:rPr>
        <w:t xml:space="preserve">יטול </w:t>
      </w:r>
      <w:r w:rsidR="004F41A6">
        <w:rPr>
          <w:rFonts w:ascii="David" w:hAnsi="David" w:hint="cs"/>
          <w:color w:val="000000"/>
          <w:rtl/>
        </w:rPr>
        <w:t>פ</w:t>
      </w:r>
      <w:r w:rsidR="003579AA">
        <w:rPr>
          <w:rFonts w:ascii="David" w:hAnsi="David" w:hint="cs"/>
          <w:color w:val="000000"/>
          <w:rtl/>
        </w:rPr>
        <w:t>סק דין בתיק בו ניתן.</w:t>
      </w:r>
    </w:p>
    <w:p w:rsidR="003579AA" w:rsidRPr="003579AA" w:rsidRDefault="003579AA" w:rsidP="003579AA">
      <w:pPr>
        <w:pStyle w:val="ad"/>
        <w:rPr>
          <w:rFonts w:ascii="David" w:hAnsi="David"/>
          <w:color w:val="000000"/>
          <w:rtl/>
        </w:rPr>
      </w:pPr>
    </w:p>
    <w:p w:rsidR="003579AA" w:rsidRDefault="003579AA" w:rsidP="002301BE">
      <w:pPr>
        <w:pStyle w:val="ad"/>
        <w:numPr>
          <w:ilvl w:val="0"/>
          <w:numId w:val="1"/>
        </w:numPr>
        <w:spacing w:line="360" w:lineRule="auto"/>
        <w:jc w:val="both"/>
        <w:rPr>
          <w:rFonts w:ascii="David" w:hAnsi="David"/>
          <w:color w:val="000000"/>
        </w:rPr>
      </w:pPr>
      <w:r>
        <w:rPr>
          <w:rFonts w:ascii="David" w:hAnsi="David" w:hint="cs"/>
          <w:color w:val="000000"/>
          <w:rtl/>
        </w:rPr>
        <w:t>חרף האמור לעיל, לא מצאתי להיעתר לבקשה למחיקת</w:t>
      </w:r>
      <w:r w:rsidR="004F41A6">
        <w:rPr>
          <w:rFonts w:ascii="David" w:hAnsi="David" w:hint="cs"/>
          <w:color w:val="000000"/>
          <w:rtl/>
        </w:rPr>
        <w:t xml:space="preserve"> הערעור.</w:t>
      </w:r>
      <w:r>
        <w:rPr>
          <w:rFonts w:ascii="David" w:hAnsi="David" w:hint="cs"/>
          <w:color w:val="000000"/>
          <w:rtl/>
        </w:rPr>
        <w:t xml:space="preserve"> זאת</w:t>
      </w:r>
      <w:r w:rsidR="004F41A6">
        <w:rPr>
          <w:rFonts w:ascii="David" w:hAnsi="David" w:hint="cs"/>
          <w:color w:val="000000"/>
          <w:rtl/>
        </w:rPr>
        <w:t>, מאחר שמצאתי כי במקר</w:t>
      </w:r>
      <w:r>
        <w:rPr>
          <w:rFonts w:ascii="David" w:hAnsi="David" w:hint="cs"/>
          <w:color w:val="000000"/>
          <w:rtl/>
        </w:rPr>
        <w:t>ה דנן התקיימו טעמים מיוחדים המצדיקים מתן ארכה להגשת הערעור.</w:t>
      </w:r>
    </w:p>
    <w:p w:rsidR="003579AA" w:rsidRPr="003579AA" w:rsidRDefault="003579AA" w:rsidP="003579AA">
      <w:pPr>
        <w:pStyle w:val="ad"/>
        <w:rPr>
          <w:rFonts w:ascii="David" w:hAnsi="David"/>
          <w:color w:val="000000"/>
          <w:rtl/>
        </w:rPr>
      </w:pPr>
    </w:p>
    <w:p w:rsidR="00287FE0" w:rsidRDefault="00287FE0" w:rsidP="003450E9">
      <w:pPr>
        <w:pStyle w:val="ad"/>
        <w:numPr>
          <w:ilvl w:val="0"/>
          <w:numId w:val="1"/>
        </w:numPr>
        <w:spacing w:line="360" w:lineRule="auto"/>
        <w:jc w:val="both"/>
        <w:rPr>
          <w:rFonts w:ascii="David" w:hAnsi="David"/>
          <w:b/>
          <w:bCs/>
          <w:noProof w:val="0"/>
          <w:rtl/>
        </w:rPr>
      </w:pPr>
      <w:r>
        <w:rPr>
          <w:rFonts w:ascii="David" w:hAnsi="David"/>
          <w:color w:val="000000"/>
          <w:rtl/>
        </w:rPr>
        <w:t>תקנה 176 לתקנות סדר הדין האזרחי, התשע"ט-2018) קובעת כדלקמ</w:t>
      </w:r>
      <w:r>
        <w:rPr>
          <w:rFonts w:ascii="David" w:hAnsi="David"/>
          <w:noProof w:val="0"/>
          <w:rtl/>
        </w:rPr>
        <w:t xml:space="preserve">ן: </w:t>
      </w:r>
    </w:p>
    <w:p w:rsidR="00287FE0" w:rsidRDefault="00287FE0" w:rsidP="00287FE0">
      <w:pPr>
        <w:pStyle w:val="ad"/>
        <w:rPr>
          <w:rFonts w:ascii="David" w:hAnsi="David"/>
          <w:b/>
          <w:bCs/>
          <w:noProof w:val="0"/>
        </w:rPr>
      </w:pPr>
    </w:p>
    <w:p w:rsidR="00287FE0" w:rsidRDefault="00287FE0" w:rsidP="00287FE0">
      <w:pPr>
        <w:pStyle w:val="ad"/>
        <w:spacing w:line="360" w:lineRule="auto"/>
        <w:jc w:val="both"/>
        <w:rPr>
          <w:rFonts w:ascii="David" w:hAnsi="David"/>
          <w:b/>
          <w:bCs/>
          <w:noProof w:val="0"/>
          <w:rtl/>
        </w:rPr>
      </w:pPr>
      <w:r>
        <w:rPr>
          <w:rFonts w:ascii="David" w:hAnsi="David"/>
          <w:b/>
          <w:bCs/>
          <w:noProof w:val="0"/>
          <w:rtl/>
        </w:rPr>
        <w:t>(א)בית המשפט רשאי לתת בכל עת הוראות לכל עניין שבסדרי הדין וכן לתקן כל פגם או טעות בכל הליך לרבות בעניין שהוכרע לפי תקנה 33(ד) אם ראה לנכון צורך בכך לשם הגשמת מטרת תקנות אלה.</w:t>
      </w:r>
    </w:p>
    <w:p w:rsidR="009E6C67" w:rsidRDefault="00287FE0" w:rsidP="009E6C67">
      <w:pPr>
        <w:pStyle w:val="ad"/>
        <w:spacing w:line="360" w:lineRule="auto"/>
        <w:jc w:val="both"/>
        <w:rPr>
          <w:rFonts w:ascii="David" w:hAnsi="David"/>
          <w:b/>
          <w:bCs/>
          <w:noProof w:val="0"/>
          <w:rtl/>
        </w:rPr>
      </w:pPr>
      <w:r>
        <w:rPr>
          <w:rFonts w:ascii="David" w:hAnsi="David"/>
          <w:b/>
          <w:bCs/>
          <w:noProof w:val="0"/>
          <w:rtl/>
        </w:rPr>
        <w:t xml:space="preserve"> (ב) בית המשפט רשאי לתת הוראות בדבר היקף כתב טענות; נקבע בתקנות אלה או בכל חיקוק זמן לעשיית דבר או להימנע מעשיית דבר או מדד להיקף כתב טענות, יחול האמור כל עוד בית המשפט לא הורה אחרת מטעמים מיוחדים". </w:t>
      </w:r>
    </w:p>
    <w:p w:rsidR="009E6C67" w:rsidRDefault="009E6C67" w:rsidP="009E6C67">
      <w:pPr>
        <w:pStyle w:val="ad"/>
        <w:spacing w:line="360" w:lineRule="auto"/>
        <w:jc w:val="both"/>
        <w:rPr>
          <w:rFonts w:ascii="David" w:hAnsi="David"/>
          <w:b/>
          <w:bCs/>
          <w:noProof w:val="0"/>
          <w:rtl/>
        </w:rPr>
      </w:pPr>
    </w:p>
    <w:p w:rsidR="009E6C67" w:rsidRPr="009E6C67" w:rsidRDefault="009E6C67" w:rsidP="009E6C67">
      <w:pPr>
        <w:pStyle w:val="ad"/>
        <w:numPr>
          <w:ilvl w:val="0"/>
          <w:numId w:val="1"/>
        </w:numPr>
        <w:spacing w:line="360" w:lineRule="auto"/>
        <w:jc w:val="both"/>
        <w:rPr>
          <w:rFonts w:ascii="David" w:hAnsi="David"/>
          <w:b/>
          <w:bCs/>
          <w:noProof w:val="0"/>
        </w:rPr>
      </w:pPr>
      <w:r w:rsidRPr="009E6C67">
        <w:rPr>
          <w:rFonts w:ascii="David" w:hAnsi="David"/>
          <w:color w:val="000000"/>
          <w:rtl/>
        </w:rPr>
        <w:t xml:space="preserve">הכלל הוא כי הארכת מועד להגשתו של הליך ערעורי תינתן רק בהתקיימם של "טעמים מיוחדים". </w:t>
      </w:r>
      <w:r w:rsidRPr="009E6C67">
        <w:rPr>
          <w:rFonts w:ascii="David" w:hAnsi="David"/>
          <w:b/>
          <w:bCs/>
          <w:noProof w:val="0"/>
          <w:rtl/>
        </w:rPr>
        <w:t>"מצב דברים שבו טעה בעל הדין ביחס למצב המשפטי או העובדתי כלול בקטגוריה זו, ובלבד שהטעות אינה טעות מובנת מאליה"</w:t>
      </w:r>
      <w:r w:rsidRPr="009E6C67">
        <w:rPr>
          <w:rFonts w:ascii="David" w:hAnsi="David"/>
          <w:noProof w:val="0"/>
          <w:rtl/>
        </w:rPr>
        <w:t xml:space="preserve"> (ראו, חמי בן נון וטל חבקין, </w:t>
      </w:r>
      <w:r w:rsidRPr="009E6C67">
        <w:rPr>
          <w:rFonts w:ascii="David" w:hAnsi="David"/>
          <w:b/>
          <w:bCs/>
          <w:noProof w:val="0"/>
          <w:rtl/>
        </w:rPr>
        <w:t>הערעור האזרחי</w:t>
      </w:r>
      <w:r w:rsidRPr="009E6C67">
        <w:rPr>
          <w:rFonts w:ascii="David" w:hAnsi="David"/>
          <w:noProof w:val="0"/>
          <w:rtl/>
        </w:rPr>
        <w:t xml:space="preserve">, עמ' 171 וההפניות שם, מהדורה שלישית (2013)). </w:t>
      </w:r>
    </w:p>
    <w:p w:rsidR="009E6C67" w:rsidRPr="009E6C67" w:rsidRDefault="009E6C67" w:rsidP="009E6C67">
      <w:pPr>
        <w:pStyle w:val="ad"/>
        <w:spacing w:line="360" w:lineRule="auto"/>
        <w:jc w:val="both"/>
        <w:rPr>
          <w:rFonts w:ascii="David" w:hAnsi="David"/>
          <w:b/>
          <w:bCs/>
          <w:noProof w:val="0"/>
        </w:rPr>
      </w:pPr>
    </w:p>
    <w:p w:rsidR="009E6C67" w:rsidRDefault="009E6C67" w:rsidP="009E6C67">
      <w:pPr>
        <w:pStyle w:val="ad"/>
        <w:numPr>
          <w:ilvl w:val="0"/>
          <w:numId w:val="1"/>
        </w:numPr>
        <w:spacing w:line="360" w:lineRule="auto"/>
        <w:jc w:val="both"/>
        <w:rPr>
          <w:rFonts w:ascii="David" w:hAnsi="David"/>
          <w:b/>
          <w:bCs/>
          <w:noProof w:val="0"/>
        </w:rPr>
      </w:pPr>
      <w:r w:rsidRPr="009E6C67">
        <w:rPr>
          <w:rFonts w:ascii="David" w:hAnsi="David"/>
          <w:noProof w:val="0"/>
          <w:rtl/>
        </w:rPr>
        <w:t xml:space="preserve">לעניין הטעות כטעם מיוחד למתן ארכה, יפים הדברים שהובאו על ידי כב' השופט מינץ בבש"א 7955/19 </w:t>
      </w:r>
      <w:r w:rsidRPr="009E6C67">
        <w:rPr>
          <w:rFonts w:ascii="David" w:hAnsi="David"/>
          <w:b/>
          <w:bCs/>
          <w:noProof w:val="0"/>
          <w:rtl/>
        </w:rPr>
        <w:t>חמדאן וגאדה נ' פקיד שומה פתח תקוה – רשות המיסים</w:t>
      </w:r>
      <w:r w:rsidRPr="009E6C67">
        <w:rPr>
          <w:rFonts w:ascii="David" w:hAnsi="David"/>
          <w:noProof w:val="0"/>
          <w:rtl/>
        </w:rPr>
        <w:t xml:space="preserve"> (8.12.2019) אשר סיכם בקצרה את ההלכות בעניין זה. על אף שבאותו מקרה לא מצא כב' השופט  לנכון להאריך את המועד, הרי שלדברים שהובאו יש רלוונטיות במקרה דנן. להלן הדברים: </w:t>
      </w:r>
      <w:r w:rsidRPr="009E6C67">
        <w:rPr>
          <w:rFonts w:ascii="David" w:hAnsi="David"/>
          <w:b/>
          <w:bCs/>
          <w:noProof w:val="0"/>
          <w:rtl/>
        </w:rPr>
        <w:t xml:space="preserve">"כידוע, על המבקש הארכת מועד להגשת הליך לשכנע את בית המשפט כי קיים "טעם מיוחד"  למתן ארכה המבוקשת (תקנה 528 לתקנות; וראו לאחרונה: בש"א 7814/19 כהן </w:t>
      </w:r>
      <w:r w:rsidRPr="009E6C67">
        <w:rPr>
          <w:rFonts w:ascii="David" w:hAnsi="David"/>
          <w:b/>
          <w:bCs/>
          <w:noProof w:val="0"/>
          <w:rtl/>
        </w:rPr>
        <w:lastRenderedPageBreak/>
        <w:t xml:space="preserve">נ' איי.די.איי חברה לביטוח בע"מ (27.11.2019)). ככלל, טעות שבדין אינה מהווה "טעם מיוחד" להארכת מועד, אלא אם מדובר בטעות סבירה, כאשר סבירות זו נמדדת לפי הקושי בהבנת הדין ובמאמצים הכנים שנעשו על ידי מבקש ההארכה להימנע מן הטעות (בש"מ 6229/11 דון יחיא נ' הועדה המקומית לתכנון ובניה, חיפה, פסקה 8 (10.1.2012)). עם זאת, עם השנים רוכך הכלל, ונקבע כי בנסיבות מסוימות בהן מדובר בטעות שאין מקורה ברשלנות, הזנחה או זלזול בבית המשפט יהיה מקום להכיר בטעות כ"טעם מיוחד". כמו כן יש לשקול את סיכויי ההליך לגביו מתבקשת הארכת המועד (רע"א 1273/15 מאירפלד השקעות וניהול בע"מ נ' סטרפלאסט תעשיות 1967 בע"מ, פסקה 17 (21.4.2015; בש"א 8010/14 פלג נ' פבריקנט את סלנט גרופ בע"מ, פסקה 4 (18.1.2015)). </w:t>
      </w:r>
    </w:p>
    <w:p w:rsidR="009E6C67" w:rsidRDefault="009E6C67" w:rsidP="009E6C67">
      <w:pPr>
        <w:pStyle w:val="ad"/>
        <w:spacing w:line="360" w:lineRule="auto"/>
        <w:jc w:val="both"/>
        <w:rPr>
          <w:rFonts w:ascii="David" w:hAnsi="David"/>
          <w:b/>
          <w:bCs/>
          <w:noProof w:val="0"/>
        </w:rPr>
      </w:pPr>
    </w:p>
    <w:p w:rsidR="006408BD" w:rsidRPr="006408BD" w:rsidRDefault="009E6C67" w:rsidP="009F1897">
      <w:pPr>
        <w:pStyle w:val="ad"/>
        <w:numPr>
          <w:ilvl w:val="0"/>
          <w:numId w:val="1"/>
        </w:numPr>
        <w:spacing w:line="360" w:lineRule="auto"/>
        <w:jc w:val="both"/>
        <w:rPr>
          <w:rFonts w:ascii="David" w:hAnsi="David"/>
          <w:b/>
          <w:bCs/>
          <w:noProof w:val="0"/>
        </w:rPr>
      </w:pPr>
      <w:r w:rsidRPr="009E6C67">
        <w:rPr>
          <w:rFonts w:ascii="David" w:hAnsi="David"/>
          <w:noProof w:val="0"/>
          <w:rtl/>
        </w:rPr>
        <w:t xml:space="preserve">במקרה דנן, אני סבור כי חברו להם מספר עניינים שבגינם יש לראות </w:t>
      </w:r>
      <w:r>
        <w:rPr>
          <w:rFonts w:ascii="David" w:hAnsi="David" w:hint="cs"/>
          <w:noProof w:val="0"/>
          <w:rtl/>
        </w:rPr>
        <w:t xml:space="preserve">את טעותה של המשיבה </w:t>
      </w:r>
      <w:r w:rsidRPr="009E6C67">
        <w:rPr>
          <w:rFonts w:ascii="David" w:hAnsi="David"/>
          <w:noProof w:val="0"/>
          <w:rtl/>
        </w:rPr>
        <w:t>כטעות סבירה המהווה טעם מיוחד המצדיק את מתן הארכה. זאת, בנוסף</w:t>
      </w:r>
      <w:r w:rsidR="009F1897">
        <w:rPr>
          <w:rFonts w:ascii="David" w:hAnsi="David" w:hint="cs"/>
          <w:noProof w:val="0"/>
          <w:rtl/>
        </w:rPr>
        <w:t xml:space="preserve"> לטעמים המבוססים על </w:t>
      </w:r>
      <w:r w:rsidR="001E7141">
        <w:rPr>
          <w:rFonts w:ascii="David" w:hAnsi="David" w:hint="cs"/>
          <w:noProof w:val="0"/>
          <w:rtl/>
        </w:rPr>
        <w:t>זכות הגישה לערכאות ו</w:t>
      </w:r>
      <w:r w:rsidR="009F1897">
        <w:rPr>
          <w:rFonts w:ascii="David" w:hAnsi="David" w:hint="cs"/>
          <w:noProof w:val="0"/>
          <w:rtl/>
        </w:rPr>
        <w:t xml:space="preserve">תחושת הצדק של בעל הדין המבקש להביא </w:t>
      </w:r>
      <w:r w:rsidRPr="009E6C67">
        <w:rPr>
          <w:rFonts w:ascii="David" w:hAnsi="David"/>
          <w:noProof w:val="0"/>
          <w:rtl/>
        </w:rPr>
        <w:t xml:space="preserve">  את עניינו בפני בית המשפט.</w:t>
      </w:r>
      <w:r w:rsidR="006408BD" w:rsidRPr="006408BD">
        <w:rPr>
          <w:rFonts w:ascii="David" w:hAnsi="David" w:hint="cs"/>
          <w:noProof w:val="0"/>
          <w:rtl/>
        </w:rPr>
        <w:t xml:space="preserve"> </w:t>
      </w:r>
    </w:p>
    <w:p w:rsidR="006408BD" w:rsidRPr="006408BD" w:rsidRDefault="006408BD" w:rsidP="006408BD">
      <w:pPr>
        <w:pStyle w:val="ad"/>
        <w:rPr>
          <w:rFonts w:ascii="David" w:hAnsi="David"/>
          <w:noProof w:val="0"/>
          <w:rtl/>
        </w:rPr>
      </w:pPr>
    </w:p>
    <w:p w:rsidR="00815328" w:rsidRDefault="006408BD" w:rsidP="004F41A6">
      <w:pPr>
        <w:pStyle w:val="ad"/>
        <w:numPr>
          <w:ilvl w:val="0"/>
          <w:numId w:val="1"/>
        </w:numPr>
        <w:spacing w:line="360" w:lineRule="auto"/>
        <w:jc w:val="both"/>
        <w:rPr>
          <w:rFonts w:ascii="David" w:hAnsi="David"/>
          <w:noProof w:val="0"/>
        </w:rPr>
      </w:pPr>
      <w:r w:rsidRPr="00815328">
        <w:rPr>
          <w:rFonts w:ascii="David" w:hAnsi="David" w:hint="cs"/>
          <w:noProof w:val="0"/>
          <w:rtl/>
        </w:rPr>
        <w:t xml:space="preserve">המשיבה לא התעלמה </w:t>
      </w:r>
      <w:r w:rsidR="009E6C67" w:rsidRPr="00815328">
        <w:rPr>
          <w:rFonts w:ascii="David" w:hAnsi="David"/>
          <w:noProof w:val="0"/>
          <w:rtl/>
        </w:rPr>
        <w:t xml:space="preserve"> מפסק הדין. </w:t>
      </w:r>
      <w:r w:rsidRPr="00815328">
        <w:rPr>
          <w:rFonts w:ascii="David" w:hAnsi="David" w:hint="cs"/>
          <w:noProof w:val="0"/>
          <w:rtl/>
        </w:rPr>
        <w:t>כאמור לעיל</w:t>
      </w:r>
      <w:r w:rsidR="004F41A6">
        <w:rPr>
          <w:rFonts w:ascii="David" w:hAnsi="David" w:hint="cs"/>
          <w:noProof w:val="0"/>
          <w:rtl/>
        </w:rPr>
        <w:t>,</w:t>
      </w:r>
      <w:r w:rsidRPr="00815328">
        <w:rPr>
          <w:rFonts w:ascii="David" w:hAnsi="David" w:hint="cs"/>
          <w:noProof w:val="0"/>
          <w:rtl/>
        </w:rPr>
        <w:t xml:space="preserve"> </w:t>
      </w:r>
      <w:r w:rsidRPr="00815328">
        <w:rPr>
          <w:rFonts w:ascii="Arial" w:hAnsi="Arial" w:hint="cs"/>
          <w:noProof w:val="0"/>
          <w:rtl/>
        </w:rPr>
        <w:t>ביום 14.12.22, כחודש ימים לאחר שניתן פסק הדין ובתוך המועד להגשת ערעור עליו, הגישה בקשה לביטול פסק הדין וצו הירושה שניתן בעקבותיו.</w:t>
      </w:r>
      <w:r w:rsidR="00815328" w:rsidRPr="00815328">
        <w:rPr>
          <w:rFonts w:ascii="Arial" w:hAnsi="Arial" w:hint="cs"/>
          <w:noProof w:val="0"/>
          <w:rtl/>
        </w:rPr>
        <w:t xml:space="preserve"> במסגרת זו אף עתרה (מתוך טעות) לבי</w:t>
      </w:r>
      <w:r w:rsidR="004F41A6">
        <w:rPr>
          <w:rFonts w:ascii="Arial" w:hAnsi="Arial" w:hint="cs"/>
          <w:noProof w:val="0"/>
          <w:rtl/>
        </w:rPr>
        <w:t>ת משפט קמא בבקשה חלופית ליתן לה</w:t>
      </w:r>
      <w:r w:rsidR="00815328" w:rsidRPr="00815328">
        <w:rPr>
          <w:rFonts w:ascii="Arial" w:hAnsi="Arial" w:hint="cs"/>
          <w:noProof w:val="0"/>
          <w:rtl/>
        </w:rPr>
        <w:t xml:space="preserve"> ארכה להגשת ערעור.</w:t>
      </w:r>
    </w:p>
    <w:p w:rsidR="00815328" w:rsidRPr="00815328" w:rsidRDefault="00815328" w:rsidP="00815328">
      <w:pPr>
        <w:pStyle w:val="ad"/>
        <w:spacing w:line="360" w:lineRule="auto"/>
        <w:jc w:val="both"/>
        <w:rPr>
          <w:rFonts w:ascii="David" w:hAnsi="David"/>
          <w:noProof w:val="0"/>
        </w:rPr>
      </w:pPr>
    </w:p>
    <w:p w:rsidR="008D2F7B" w:rsidRDefault="00815328" w:rsidP="0044392E">
      <w:pPr>
        <w:pStyle w:val="ad"/>
        <w:numPr>
          <w:ilvl w:val="0"/>
          <w:numId w:val="1"/>
        </w:numPr>
        <w:spacing w:line="360" w:lineRule="auto"/>
        <w:jc w:val="both"/>
        <w:rPr>
          <w:rFonts w:ascii="David" w:hAnsi="David"/>
          <w:noProof w:val="0"/>
        </w:rPr>
      </w:pPr>
      <w:r w:rsidRPr="008D2F7B">
        <w:rPr>
          <w:rFonts w:ascii="David" w:hAnsi="David" w:hint="cs"/>
          <w:noProof w:val="0"/>
          <w:rtl/>
        </w:rPr>
        <w:t xml:space="preserve">זאת ועוד, </w:t>
      </w:r>
      <w:r w:rsidR="009E6C67" w:rsidRPr="008D2F7B">
        <w:rPr>
          <w:rFonts w:ascii="David" w:hAnsi="David"/>
          <w:noProof w:val="0"/>
          <w:rtl/>
        </w:rPr>
        <w:t>בית משפט קמא לא דחה על</w:t>
      </w:r>
      <w:r w:rsidRPr="008D2F7B">
        <w:rPr>
          <w:rFonts w:ascii="David" w:hAnsi="David"/>
          <w:noProof w:val="0"/>
          <w:rtl/>
        </w:rPr>
        <w:t xml:space="preserve"> הסף את בקשת</w:t>
      </w:r>
      <w:r w:rsidRPr="008D2F7B">
        <w:rPr>
          <w:rFonts w:ascii="David" w:hAnsi="David" w:hint="cs"/>
          <w:noProof w:val="0"/>
          <w:rtl/>
        </w:rPr>
        <w:t>ה</w:t>
      </w:r>
      <w:r w:rsidR="008D2F7B" w:rsidRPr="008D2F7B">
        <w:rPr>
          <w:rFonts w:ascii="David" w:hAnsi="David" w:hint="cs"/>
          <w:noProof w:val="0"/>
          <w:rtl/>
        </w:rPr>
        <w:t>,</w:t>
      </w:r>
      <w:r w:rsidRPr="008D2F7B">
        <w:rPr>
          <w:rFonts w:ascii="David" w:hAnsi="David" w:hint="cs"/>
          <w:noProof w:val="0"/>
          <w:rtl/>
        </w:rPr>
        <w:t xml:space="preserve"> אלא הורה בהחלטתו מיום 15.12.2022 כי זו תועבר לתגובת המבקש אשר יגיב עליה בתוך 20 ימים, קרי </w:t>
      </w:r>
      <w:r w:rsidR="008D2F7B" w:rsidRPr="008D2F7B">
        <w:rPr>
          <w:rFonts w:ascii="David" w:hAnsi="David" w:hint="cs"/>
          <w:noProof w:val="0"/>
          <w:rtl/>
        </w:rPr>
        <w:t xml:space="preserve">לאחר היום האחרון </w:t>
      </w:r>
      <w:r w:rsidRPr="008D2F7B">
        <w:rPr>
          <w:rFonts w:ascii="David" w:hAnsi="David" w:hint="cs"/>
          <w:noProof w:val="0"/>
          <w:rtl/>
        </w:rPr>
        <w:t>להגשת ערעור. ואכן</w:t>
      </w:r>
      <w:r w:rsidR="004F41A6">
        <w:rPr>
          <w:rFonts w:ascii="David" w:hAnsi="David" w:hint="cs"/>
          <w:noProof w:val="0"/>
          <w:rtl/>
        </w:rPr>
        <w:t>,</w:t>
      </w:r>
      <w:r w:rsidR="0044392E">
        <w:rPr>
          <w:rFonts w:ascii="David" w:hAnsi="David" w:hint="cs"/>
          <w:noProof w:val="0"/>
          <w:rtl/>
        </w:rPr>
        <w:t xml:space="preserve"> </w:t>
      </w:r>
      <w:r w:rsidRPr="008D2F7B">
        <w:rPr>
          <w:rFonts w:ascii="David" w:hAnsi="David" w:hint="cs"/>
          <w:noProof w:val="0"/>
          <w:rtl/>
        </w:rPr>
        <w:t>תגוב</w:t>
      </w:r>
      <w:r w:rsidR="0044392E">
        <w:rPr>
          <w:rFonts w:ascii="David" w:hAnsi="David" w:hint="cs"/>
          <w:noProof w:val="0"/>
          <w:rtl/>
        </w:rPr>
        <w:t>ת המבקש</w:t>
      </w:r>
      <w:r w:rsidRPr="008D2F7B">
        <w:rPr>
          <w:rFonts w:ascii="David" w:hAnsi="David" w:hint="cs"/>
          <w:noProof w:val="0"/>
          <w:rtl/>
        </w:rPr>
        <w:t xml:space="preserve"> הוגשה </w:t>
      </w:r>
      <w:r w:rsidR="008D2F7B" w:rsidRPr="008D2F7B">
        <w:rPr>
          <w:rFonts w:ascii="David" w:hAnsi="David" w:hint="cs"/>
          <w:noProof w:val="0"/>
          <w:rtl/>
        </w:rPr>
        <w:t xml:space="preserve">לאחר מכן </w:t>
      </w:r>
      <w:r w:rsidR="004F41A6">
        <w:rPr>
          <w:rFonts w:ascii="David" w:hAnsi="David" w:hint="cs"/>
          <w:noProof w:val="0"/>
          <w:rtl/>
        </w:rPr>
        <w:t>ביום 4.1.2023</w:t>
      </w:r>
      <w:r w:rsidR="008D2F7B">
        <w:rPr>
          <w:rFonts w:ascii="David" w:hAnsi="David" w:hint="cs"/>
          <w:noProof w:val="0"/>
          <w:rtl/>
        </w:rPr>
        <w:t xml:space="preserve">. </w:t>
      </w:r>
      <w:r w:rsidR="008D2F7B" w:rsidRPr="00815328">
        <w:rPr>
          <w:rFonts w:ascii="Arial" w:hAnsi="Arial"/>
          <w:noProof w:val="0"/>
          <w:rtl/>
        </w:rPr>
        <w:t xml:space="preserve">בהעברת הבקשה לתגובה יש כדי לבסס את ההנחה </w:t>
      </w:r>
      <w:r w:rsidR="008D2F7B">
        <w:rPr>
          <w:rFonts w:ascii="Arial" w:hAnsi="Arial" w:hint="cs"/>
          <w:noProof w:val="0"/>
          <w:rtl/>
        </w:rPr>
        <w:t xml:space="preserve">(המוטעית) </w:t>
      </w:r>
      <w:r w:rsidR="0044392E">
        <w:rPr>
          <w:rFonts w:ascii="Arial" w:hAnsi="Arial" w:hint="cs"/>
          <w:noProof w:val="0"/>
          <w:rtl/>
        </w:rPr>
        <w:t xml:space="preserve">של המשיבה </w:t>
      </w:r>
      <w:r w:rsidR="008D2F7B" w:rsidRPr="00815328">
        <w:rPr>
          <w:rFonts w:ascii="Arial" w:hAnsi="Arial"/>
          <w:noProof w:val="0"/>
          <w:rtl/>
        </w:rPr>
        <w:t xml:space="preserve">כי קיימת </w:t>
      </w:r>
      <w:r w:rsidR="008D2F7B">
        <w:rPr>
          <w:rFonts w:ascii="Arial" w:hAnsi="Arial" w:hint="cs"/>
          <w:noProof w:val="0"/>
          <w:rtl/>
        </w:rPr>
        <w:t xml:space="preserve">לכאורה </w:t>
      </w:r>
      <w:r w:rsidR="008D2F7B" w:rsidRPr="00815328">
        <w:rPr>
          <w:rFonts w:ascii="Arial" w:hAnsi="Arial"/>
          <w:noProof w:val="0"/>
          <w:rtl/>
        </w:rPr>
        <w:t xml:space="preserve">אפשרות </w:t>
      </w:r>
      <w:r w:rsidR="0044392E">
        <w:rPr>
          <w:rFonts w:ascii="Arial" w:hAnsi="Arial" w:hint="cs"/>
          <w:noProof w:val="0"/>
          <w:rtl/>
        </w:rPr>
        <w:t>שבית משפט קמא יבט</w:t>
      </w:r>
      <w:r w:rsidR="008D2F7B" w:rsidRPr="00815328">
        <w:rPr>
          <w:rFonts w:ascii="Arial" w:hAnsi="Arial"/>
          <w:noProof w:val="0"/>
          <w:rtl/>
        </w:rPr>
        <w:t xml:space="preserve">ל </w:t>
      </w:r>
      <w:r w:rsidR="008D2F7B">
        <w:rPr>
          <w:rFonts w:ascii="Arial" w:hAnsi="Arial" w:hint="cs"/>
          <w:noProof w:val="0"/>
          <w:rtl/>
        </w:rPr>
        <w:t>את פסק הדין</w:t>
      </w:r>
      <w:r w:rsidR="0044392E">
        <w:rPr>
          <w:rFonts w:ascii="Arial" w:hAnsi="Arial" w:hint="cs"/>
          <w:noProof w:val="0"/>
          <w:rtl/>
        </w:rPr>
        <w:t xml:space="preserve"> כך ש</w:t>
      </w:r>
      <w:r w:rsidR="008D2F7B" w:rsidRPr="00815328">
        <w:rPr>
          <w:rFonts w:ascii="Arial" w:hAnsi="Arial"/>
          <w:noProof w:val="0"/>
          <w:rtl/>
        </w:rPr>
        <w:t xml:space="preserve">הדיון </w:t>
      </w:r>
      <w:r w:rsidR="0044392E">
        <w:rPr>
          <w:rFonts w:ascii="Arial" w:hAnsi="Arial" w:hint="cs"/>
          <w:noProof w:val="0"/>
          <w:rtl/>
        </w:rPr>
        <w:t xml:space="preserve">בפניו ימשיך להתקיים ולא יהיה צורך להגיש את </w:t>
      </w:r>
      <w:r w:rsidR="008D2F7B">
        <w:rPr>
          <w:rFonts w:ascii="Arial" w:hAnsi="Arial"/>
          <w:noProof w:val="0"/>
          <w:rtl/>
        </w:rPr>
        <w:t>הערעור</w:t>
      </w:r>
      <w:r w:rsidR="0044392E">
        <w:rPr>
          <w:rFonts w:ascii="David" w:hAnsi="David" w:hint="cs"/>
          <w:noProof w:val="0"/>
          <w:rtl/>
        </w:rPr>
        <w:t xml:space="preserve">. </w:t>
      </w:r>
    </w:p>
    <w:p w:rsidR="008D2F7B" w:rsidRPr="008D2F7B" w:rsidRDefault="008D2F7B" w:rsidP="008D2F7B">
      <w:pPr>
        <w:pStyle w:val="ad"/>
        <w:rPr>
          <w:rFonts w:ascii="David" w:hAnsi="David"/>
          <w:noProof w:val="0"/>
          <w:rtl/>
        </w:rPr>
      </w:pPr>
    </w:p>
    <w:p w:rsidR="002A764F" w:rsidRDefault="008D2F7B" w:rsidP="006A751E">
      <w:pPr>
        <w:pStyle w:val="ad"/>
        <w:numPr>
          <w:ilvl w:val="0"/>
          <w:numId w:val="1"/>
        </w:numPr>
        <w:spacing w:line="360" w:lineRule="auto"/>
        <w:jc w:val="both"/>
        <w:rPr>
          <w:rFonts w:ascii="David" w:hAnsi="David"/>
          <w:noProof w:val="0"/>
        </w:rPr>
      </w:pPr>
      <w:r>
        <w:rPr>
          <w:rFonts w:ascii="David" w:hAnsi="David" w:hint="cs"/>
          <w:noProof w:val="0"/>
          <w:rtl/>
        </w:rPr>
        <w:t xml:space="preserve">כאמור לעיל, </w:t>
      </w:r>
      <w:r>
        <w:rPr>
          <w:rFonts w:ascii="David" w:hAnsi="David"/>
          <w:noProof w:val="0"/>
          <w:rtl/>
        </w:rPr>
        <w:t xml:space="preserve">החלטת בית משפט קמא </w:t>
      </w:r>
      <w:r>
        <w:rPr>
          <w:rFonts w:ascii="David" w:hAnsi="David" w:hint="cs"/>
          <w:noProof w:val="0"/>
          <w:rtl/>
        </w:rPr>
        <w:t>שדחתה את הבקשה לביטול פסק דין</w:t>
      </w:r>
      <w:r w:rsidR="004F41A6">
        <w:rPr>
          <w:rFonts w:ascii="David" w:hAnsi="David" w:hint="cs"/>
          <w:noProof w:val="0"/>
          <w:rtl/>
        </w:rPr>
        <w:t>, ניתנה ביום 5.1.2023</w:t>
      </w:r>
      <w:r w:rsidR="009E6C67" w:rsidRPr="008D2F7B">
        <w:rPr>
          <w:rFonts w:ascii="David" w:hAnsi="David"/>
          <w:noProof w:val="0"/>
          <w:rtl/>
        </w:rPr>
        <w:t xml:space="preserve"> </w:t>
      </w:r>
      <w:r w:rsidR="00516AB1">
        <w:rPr>
          <w:rFonts w:ascii="David" w:hAnsi="David" w:hint="cs"/>
          <w:noProof w:val="0"/>
          <w:rtl/>
        </w:rPr>
        <w:t xml:space="preserve">ארבעה ימים </w:t>
      </w:r>
      <w:r w:rsidR="009E6C67" w:rsidRPr="008D2F7B">
        <w:rPr>
          <w:rFonts w:ascii="David" w:hAnsi="David"/>
          <w:noProof w:val="0"/>
          <w:rtl/>
        </w:rPr>
        <w:t xml:space="preserve">לאחר חלוף המועד להגשת הערעור. במילים אחרות, הפעם הראשונה בה </w:t>
      </w:r>
      <w:r w:rsidR="006A751E">
        <w:rPr>
          <w:rFonts w:ascii="David" w:hAnsi="David" w:hint="cs"/>
          <w:noProof w:val="0"/>
          <w:rtl/>
        </w:rPr>
        <w:t>ידעה המשיבה כי ב</w:t>
      </w:r>
      <w:r w:rsidR="006A751E">
        <w:rPr>
          <w:rFonts w:ascii="David" w:hAnsi="David"/>
          <w:noProof w:val="0"/>
          <w:rtl/>
        </w:rPr>
        <w:t>קשת</w:t>
      </w:r>
      <w:r w:rsidR="006A751E">
        <w:rPr>
          <w:rFonts w:ascii="David" w:hAnsi="David" w:hint="cs"/>
          <w:noProof w:val="0"/>
          <w:rtl/>
        </w:rPr>
        <w:t>ה</w:t>
      </w:r>
      <w:r w:rsidR="009E6C67" w:rsidRPr="008D2F7B">
        <w:rPr>
          <w:rFonts w:ascii="David" w:hAnsi="David"/>
          <w:noProof w:val="0"/>
          <w:rtl/>
        </w:rPr>
        <w:t xml:space="preserve"> לביטול </w:t>
      </w:r>
      <w:r w:rsidR="006A751E">
        <w:rPr>
          <w:rFonts w:ascii="David" w:hAnsi="David" w:hint="cs"/>
          <w:noProof w:val="0"/>
          <w:rtl/>
        </w:rPr>
        <w:t>פסק הדין</w:t>
      </w:r>
      <w:r w:rsidR="009E6C67" w:rsidRPr="008D2F7B">
        <w:rPr>
          <w:rFonts w:ascii="David" w:hAnsi="David"/>
          <w:noProof w:val="0"/>
          <w:rtl/>
        </w:rPr>
        <w:t xml:space="preserve"> נדחתה, הייתה לאחר חלוף המועד להגשת הערעור.</w:t>
      </w:r>
    </w:p>
    <w:p w:rsidR="00516AB1" w:rsidRPr="00516AB1" w:rsidRDefault="00516AB1" w:rsidP="00516AB1">
      <w:pPr>
        <w:pStyle w:val="ad"/>
        <w:rPr>
          <w:rFonts w:ascii="David" w:hAnsi="David"/>
          <w:noProof w:val="0"/>
          <w:rtl/>
        </w:rPr>
      </w:pPr>
    </w:p>
    <w:p w:rsidR="006A751E" w:rsidRDefault="006A751E" w:rsidP="009F1897">
      <w:pPr>
        <w:pStyle w:val="ad"/>
        <w:numPr>
          <w:ilvl w:val="0"/>
          <w:numId w:val="1"/>
        </w:numPr>
        <w:spacing w:line="360" w:lineRule="auto"/>
        <w:jc w:val="both"/>
        <w:rPr>
          <w:rFonts w:ascii="David" w:hAnsi="David"/>
          <w:noProof w:val="0"/>
        </w:rPr>
      </w:pPr>
      <w:r>
        <w:rPr>
          <w:rFonts w:ascii="David" w:hAnsi="David" w:hint="cs"/>
          <w:noProof w:val="0"/>
          <w:rtl/>
        </w:rPr>
        <w:t>לא זאת אף זאת, מהבקשה לביטול כמו גם</w:t>
      </w:r>
      <w:r w:rsidR="004F41A6">
        <w:rPr>
          <w:rFonts w:ascii="David" w:hAnsi="David" w:hint="cs"/>
          <w:noProof w:val="0"/>
          <w:rtl/>
        </w:rPr>
        <w:t xml:space="preserve"> מהודעת הערעור עולה כי המשיבה</w:t>
      </w:r>
      <w:r>
        <w:rPr>
          <w:rFonts w:ascii="David" w:hAnsi="David" w:hint="cs"/>
          <w:noProof w:val="0"/>
          <w:rtl/>
        </w:rPr>
        <w:t xml:space="preserve"> סברה כי בנסיבות המקרה דנן ניתן לעתור לביטול פסק הדין מכוח </w:t>
      </w:r>
      <w:r w:rsidR="009F1897">
        <w:rPr>
          <w:rFonts w:ascii="David" w:hAnsi="David" w:hint="cs"/>
          <w:noProof w:val="0"/>
          <w:rtl/>
        </w:rPr>
        <w:t>סעיף</w:t>
      </w:r>
      <w:r>
        <w:rPr>
          <w:rFonts w:ascii="David" w:hAnsi="David" w:hint="cs"/>
          <w:noProof w:val="0"/>
          <w:rtl/>
        </w:rPr>
        <w:t xml:space="preserve"> 72 לחוק הירושה, טענה </w:t>
      </w:r>
      <w:r>
        <w:rPr>
          <w:rFonts w:ascii="David" w:hAnsi="David" w:hint="cs"/>
          <w:noProof w:val="0"/>
          <w:rtl/>
        </w:rPr>
        <w:lastRenderedPageBreak/>
        <w:t>שכאמור נדחתה בהחלטת בית משפט קמא מיום 5.1.2023.</w:t>
      </w:r>
      <w:r w:rsidR="00B60B47">
        <w:rPr>
          <w:rFonts w:ascii="David" w:hAnsi="David" w:hint="cs"/>
          <w:noProof w:val="0"/>
          <w:rtl/>
        </w:rPr>
        <w:t xml:space="preserve"> לכך יש להוסיף את </w:t>
      </w:r>
      <w:r w:rsidR="009F1897">
        <w:rPr>
          <w:rFonts w:ascii="David" w:hAnsi="David" w:hint="cs"/>
          <w:noProof w:val="0"/>
          <w:rtl/>
        </w:rPr>
        <w:t>סברתה</w:t>
      </w:r>
      <w:r w:rsidR="00B468C6">
        <w:rPr>
          <w:rFonts w:ascii="David" w:hAnsi="David" w:hint="cs"/>
          <w:noProof w:val="0"/>
          <w:rtl/>
        </w:rPr>
        <w:t xml:space="preserve"> </w:t>
      </w:r>
      <w:r w:rsidR="00B60B47">
        <w:rPr>
          <w:rFonts w:ascii="David" w:hAnsi="David" w:hint="cs"/>
          <w:noProof w:val="0"/>
          <w:rtl/>
        </w:rPr>
        <w:t xml:space="preserve">כי יש למנות את המועד להגשת הערעור </w:t>
      </w:r>
      <w:r w:rsidR="00B60B47">
        <w:rPr>
          <w:rFonts w:ascii="Arial" w:hAnsi="Arial" w:hint="cs"/>
          <w:noProof w:val="0"/>
          <w:rtl/>
        </w:rPr>
        <w:t xml:space="preserve">רק </w:t>
      </w:r>
      <w:r w:rsidR="00B60B47" w:rsidRPr="00457B26">
        <w:rPr>
          <w:rFonts w:ascii="Arial" w:hAnsi="Arial" w:hint="cs"/>
          <w:noProof w:val="0"/>
          <w:rtl/>
        </w:rPr>
        <w:t>לאחר שבית המשפט קמא סיים את בירור המחלוקת שהובאה בפניו וסגר את התיק</w:t>
      </w:r>
      <w:r w:rsidR="00B60B47">
        <w:rPr>
          <w:rFonts w:ascii="Arial" w:hAnsi="Arial" w:hint="cs"/>
          <w:noProof w:val="0"/>
          <w:rtl/>
        </w:rPr>
        <w:t xml:space="preserve"> ולכן המועד האחרון להגשת הערעור </w:t>
      </w:r>
      <w:r w:rsidR="00B468C6">
        <w:rPr>
          <w:rFonts w:ascii="Arial" w:hAnsi="Arial" w:hint="cs"/>
          <w:noProof w:val="0"/>
          <w:rtl/>
        </w:rPr>
        <w:t xml:space="preserve">על פסק הדין </w:t>
      </w:r>
      <w:r w:rsidR="00B60B47">
        <w:rPr>
          <w:rFonts w:ascii="Arial" w:hAnsi="Arial" w:hint="cs"/>
          <w:noProof w:val="0"/>
          <w:rtl/>
        </w:rPr>
        <w:t>לשיטתה חל ביום 19.2.2023</w:t>
      </w:r>
      <w:r w:rsidR="00B60B47">
        <w:rPr>
          <w:rFonts w:ascii="David" w:hAnsi="David" w:hint="cs"/>
          <w:noProof w:val="0"/>
          <w:rtl/>
        </w:rPr>
        <w:t>.</w:t>
      </w:r>
    </w:p>
    <w:p w:rsidR="00516AB1" w:rsidRPr="00516AB1" w:rsidRDefault="00516AB1" w:rsidP="00516AB1">
      <w:pPr>
        <w:pStyle w:val="ad"/>
        <w:rPr>
          <w:rFonts w:ascii="David" w:hAnsi="David"/>
          <w:noProof w:val="0"/>
          <w:rtl/>
        </w:rPr>
      </w:pPr>
    </w:p>
    <w:p w:rsidR="00516AB1" w:rsidRDefault="00516AB1" w:rsidP="006A751E">
      <w:pPr>
        <w:pStyle w:val="ad"/>
        <w:numPr>
          <w:ilvl w:val="0"/>
          <w:numId w:val="1"/>
        </w:numPr>
        <w:spacing w:line="360" w:lineRule="auto"/>
        <w:jc w:val="both"/>
        <w:rPr>
          <w:rFonts w:ascii="David" w:hAnsi="David"/>
          <w:noProof w:val="0"/>
        </w:rPr>
      </w:pPr>
      <w:r>
        <w:rPr>
          <w:rFonts w:ascii="David" w:hAnsi="David" w:hint="cs"/>
          <w:noProof w:val="0"/>
          <w:rtl/>
        </w:rPr>
        <w:t>מכל מקום</w:t>
      </w:r>
      <w:r w:rsidR="005733FF">
        <w:rPr>
          <w:rFonts w:ascii="David" w:hAnsi="David" w:hint="cs"/>
          <w:noProof w:val="0"/>
          <w:rtl/>
        </w:rPr>
        <w:t>,</w:t>
      </w:r>
      <w:r>
        <w:rPr>
          <w:rFonts w:ascii="David" w:hAnsi="David" w:hint="cs"/>
          <w:noProof w:val="0"/>
          <w:rtl/>
        </w:rPr>
        <w:t xml:space="preserve"> המשיבה לא השתה</w:t>
      </w:r>
      <w:r w:rsidR="005733FF">
        <w:rPr>
          <w:rFonts w:ascii="David" w:hAnsi="David" w:hint="cs"/>
          <w:noProof w:val="0"/>
          <w:rtl/>
        </w:rPr>
        <w:t>תה יתר על המידה וביום 16.1.2023</w:t>
      </w:r>
      <w:r>
        <w:rPr>
          <w:rFonts w:ascii="David" w:hAnsi="David" w:hint="cs"/>
          <w:noProof w:val="0"/>
          <w:rtl/>
        </w:rPr>
        <w:t>, אחד עשר ימים בלבד לאחר שניתנה החלטת בית המשפט, הגישה את הודעת הערעור בתיק כאן.</w:t>
      </w:r>
    </w:p>
    <w:p w:rsidR="002A764F" w:rsidRPr="002A764F" w:rsidRDefault="002A764F" w:rsidP="002A764F">
      <w:pPr>
        <w:pStyle w:val="ad"/>
        <w:rPr>
          <w:rFonts w:ascii="David" w:hAnsi="David"/>
          <w:noProof w:val="0"/>
          <w:rtl/>
        </w:rPr>
      </w:pPr>
    </w:p>
    <w:p w:rsidR="00B468C6" w:rsidRPr="005733FF" w:rsidRDefault="002A764F" w:rsidP="00662D4C">
      <w:pPr>
        <w:pStyle w:val="ad"/>
        <w:numPr>
          <w:ilvl w:val="0"/>
          <w:numId w:val="1"/>
        </w:numPr>
        <w:spacing w:line="360" w:lineRule="auto"/>
        <w:jc w:val="both"/>
        <w:rPr>
          <w:rFonts w:ascii="David" w:hAnsi="David"/>
          <w:b/>
          <w:bCs/>
          <w:noProof w:val="0"/>
        </w:rPr>
      </w:pPr>
      <w:r w:rsidRPr="005733FF">
        <w:rPr>
          <w:rFonts w:ascii="David" w:hAnsi="David" w:hint="cs"/>
          <w:noProof w:val="0"/>
          <w:rtl/>
        </w:rPr>
        <w:t xml:space="preserve">מעיון בהודעת הערעור עולה כי שלא כטענת </w:t>
      </w:r>
      <w:r w:rsidR="00516AB1" w:rsidRPr="005733FF">
        <w:rPr>
          <w:rFonts w:ascii="David" w:hAnsi="David" w:hint="cs"/>
          <w:noProof w:val="0"/>
          <w:rtl/>
        </w:rPr>
        <w:t xml:space="preserve">בא כוח </w:t>
      </w:r>
      <w:r w:rsidRPr="005733FF">
        <w:rPr>
          <w:rFonts w:ascii="David" w:hAnsi="David" w:hint="cs"/>
          <w:noProof w:val="0"/>
          <w:rtl/>
        </w:rPr>
        <w:t>המשיבה</w:t>
      </w:r>
      <w:r w:rsidR="004F41A6" w:rsidRPr="005733FF">
        <w:rPr>
          <w:rFonts w:ascii="David" w:hAnsi="David" w:hint="cs"/>
          <w:noProof w:val="0"/>
          <w:rtl/>
        </w:rPr>
        <w:t>,</w:t>
      </w:r>
      <w:r w:rsidRPr="005733FF">
        <w:rPr>
          <w:rFonts w:ascii="David" w:hAnsi="David" w:hint="cs"/>
          <w:noProof w:val="0"/>
          <w:rtl/>
        </w:rPr>
        <w:t xml:space="preserve"> הערעור אינו עוסק רק בהחלטה הדוחה את ביטול פסק הדין</w:t>
      </w:r>
      <w:r w:rsidR="00A32C78">
        <w:rPr>
          <w:rFonts w:ascii="David" w:hAnsi="David" w:hint="cs"/>
          <w:noProof w:val="0"/>
          <w:rtl/>
        </w:rPr>
        <w:t xml:space="preserve"> (בגינה יש להגיש בקשת רשות ערעור)</w:t>
      </w:r>
      <w:r w:rsidRPr="005733FF">
        <w:rPr>
          <w:rFonts w:ascii="David" w:hAnsi="David" w:hint="cs"/>
          <w:noProof w:val="0"/>
          <w:rtl/>
        </w:rPr>
        <w:t>, אלא מעלה טענות ע</w:t>
      </w:r>
      <w:r w:rsidR="004F41A6" w:rsidRPr="005733FF">
        <w:rPr>
          <w:rFonts w:ascii="David" w:hAnsi="David" w:hint="cs"/>
          <w:noProof w:val="0"/>
          <w:rtl/>
        </w:rPr>
        <w:t xml:space="preserve">רעור לגופו של פסק הדין. כך למשל, </w:t>
      </w:r>
      <w:r w:rsidRPr="005733FF">
        <w:rPr>
          <w:rFonts w:ascii="David" w:hAnsi="David" w:hint="cs"/>
          <w:noProof w:val="0"/>
          <w:rtl/>
        </w:rPr>
        <w:t>טוענת המשיבה כי בית משפט קמא שגה מקום שהכריע בהליך שהונח לפניו ללא בירורו (ראו סעיפים 45-60).</w:t>
      </w:r>
      <w:r w:rsidRPr="005733FF">
        <w:rPr>
          <w:rFonts w:ascii="David" w:hAnsi="David" w:hint="cs"/>
          <w:b/>
          <w:bCs/>
          <w:noProof w:val="0"/>
          <w:rtl/>
        </w:rPr>
        <w:t xml:space="preserve"> </w:t>
      </w:r>
      <w:r w:rsidR="005733FF" w:rsidRPr="005733FF">
        <w:rPr>
          <w:rFonts w:ascii="David" w:hAnsi="David" w:hint="cs"/>
          <w:noProof w:val="0"/>
          <w:rtl/>
        </w:rPr>
        <w:t xml:space="preserve">יש לציין כי </w:t>
      </w:r>
      <w:r w:rsidRPr="005733FF">
        <w:rPr>
          <w:rFonts w:ascii="David" w:hAnsi="David" w:hint="cs"/>
          <w:noProof w:val="0"/>
          <w:rtl/>
        </w:rPr>
        <w:t xml:space="preserve">המשיבה ציינה </w:t>
      </w:r>
      <w:r w:rsidR="005733FF" w:rsidRPr="005733FF">
        <w:rPr>
          <w:rFonts w:ascii="David" w:hAnsi="David" w:hint="cs"/>
          <w:noProof w:val="0"/>
          <w:rtl/>
        </w:rPr>
        <w:t xml:space="preserve">במפורש </w:t>
      </w:r>
      <w:r w:rsidRPr="005733FF">
        <w:rPr>
          <w:rFonts w:ascii="David" w:hAnsi="David" w:hint="cs"/>
          <w:noProof w:val="0"/>
          <w:rtl/>
        </w:rPr>
        <w:t>בהודעת הערעור כי היא מערערת על ההחלטה המהווה חלק בלתי נפרד מפסק הדין.</w:t>
      </w:r>
      <w:r w:rsidR="00B468C6" w:rsidRPr="005733FF">
        <w:rPr>
          <w:rFonts w:ascii="David" w:hAnsi="David" w:hint="cs"/>
          <w:b/>
          <w:bCs/>
          <w:noProof w:val="0"/>
          <w:rtl/>
        </w:rPr>
        <w:t xml:space="preserve"> </w:t>
      </w:r>
    </w:p>
    <w:p w:rsidR="005733FF" w:rsidRPr="005733FF" w:rsidRDefault="005733FF" w:rsidP="005733FF">
      <w:pPr>
        <w:pStyle w:val="ad"/>
        <w:rPr>
          <w:rFonts w:ascii="David" w:hAnsi="David"/>
          <w:b/>
          <w:bCs/>
          <w:noProof w:val="0"/>
          <w:rtl/>
        </w:rPr>
      </w:pPr>
    </w:p>
    <w:p w:rsidR="0030238D" w:rsidRPr="0030238D" w:rsidRDefault="0030238D" w:rsidP="0097309F">
      <w:pPr>
        <w:pStyle w:val="ad"/>
        <w:numPr>
          <w:ilvl w:val="0"/>
          <w:numId w:val="1"/>
        </w:numPr>
        <w:spacing w:line="360" w:lineRule="auto"/>
        <w:jc w:val="both"/>
        <w:rPr>
          <w:rFonts w:ascii="Arial" w:hAnsi="Arial"/>
          <w:noProof w:val="0"/>
        </w:rPr>
      </w:pPr>
      <w:r w:rsidRPr="0030238D">
        <w:rPr>
          <w:rFonts w:ascii="Arial" w:hAnsi="Arial"/>
          <w:noProof w:val="0"/>
          <w:rtl/>
        </w:rPr>
        <w:t>בנסיבות אלה, קבלת הבקשה</w:t>
      </w:r>
      <w:r w:rsidR="004F41A6">
        <w:rPr>
          <w:rFonts w:ascii="Arial" w:hAnsi="Arial"/>
          <w:noProof w:val="0"/>
          <w:rtl/>
        </w:rPr>
        <w:t xml:space="preserve"> למחיקת הערעור בשל איחור בהגשתו</w:t>
      </w:r>
      <w:r w:rsidRPr="0030238D">
        <w:rPr>
          <w:rFonts w:ascii="Arial" w:hAnsi="Arial"/>
          <w:noProof w:val="0"/>
          <w:rtl/>
        </w:rPr>
        <w:t xml:space="preserve"> תפגע במשיבה קשות בהיותה סנקציה חריפה </w:t>
      </w:r>
      <w:r w:rsidR="004F41A6">
        <w:rPr>
          <w:rFonts w:ascii="Arial" w:hAnsi="Arial" w:hint="cs"/>
          <w:noProof w:val="0"/>
          <w:rtl/>
        </w:rPr>
        <w:t>שתוצאתה חסימת</w:t>
      </w:r>
      <w:r w:rsidR="0097309F">
        <w:rPr>
          <w:rFonts w:ascii="Arial" w:hAnsi="Arial"/>
          <w:noProof w:val="0"/>
          <w:rtl/>
        </w:rPr>
        <w:t xml:space="preserve"> </w:t>
      </w:r>
      <w:r w:rsidR="0097309F">
        <w:rPr>
          <w:rFonts w:ascii="Arial" w:hAnsi="Arial" w:hint="cs"/>
          <w:noProof w:val="0"/>
          <w:rtl/>
        </w:rPr>
        <w:t>אפשרות המשיבה</w:t>
      </w:r>
      <w:r w:rsidRPr="0030238D">
        <w:rPr>
          <w:rFonts w:ascii="Arial" w:hAnsi="Arial"/>
          <w:noProof w:val="0"/>
          <w:rtl/>
        </w:rPr>
        <w:t xml:space="preserve"> להשמיע טענותיה בפני ערכאת הערע</w:t>
      </w:r>
      <w:r w:rsidRPr="0030238D">
        <w:rPr>
          <w:rFonts w:ascii="David" w:hAnsi="David"/>
          <w:noProof w:val="0"/>
          <w:rtl/>
        </w:rPr>
        <w:t>ור.</w:t>
      </w:r>
    </w:p>
    <w:p w:rsidR="002A764F" w:rsidRPr="002A764F" w:rsidRDefault="002A764F" w:rsidP="002A764F">
      <w:pPr>
        <w:pStyle w:val="ad"/>
        <w:rPr>
          <w:rFonts w:ascii="David" w:hAnsi="David"/>
          <w:noProof w:val="0"/>
          <w:rtl/>
        </w:rPr>
      </w:pPr>
    </w:p>
    <w:p w:rsidR="0030238D" w:rsidRPr="0030238D" w:rsidRDefault="0030238D" w:rsidP="0030238D">
      <w:pPr>
        <w:pStyle w:val="ad"/>
        <w:rPr>
          <w:rFonts w:ascii="David" w:hAnsi="David"/>
          <w:noProof w:val="0"/>
          <w:rtl/>
        </w:rPr>
      </w:pPr>
    </w:p>
    <w:p w:rsidR="009E6C67" w:rsidRDefault="009E6C67" w:rsidP="0030238D">
      <w:pPr>
        <w:pStyle w:val="ad"/>
        <w:numPr>
          <w:ilvl w:val="0"/>
          <w:numId w:val="1"/>
        </w:numPr>
        <w:spacing w:line="360" w:lineRule="auto"/>
        <w:jc w:val="both"/>
        <w:rPr>
          <w:rFonts w:ascii="David" w:hAnsi="David"/>
          <w:noProof w:val="0"/>
        </w:rPr>
      </w:pPr>
      <w:r w:rsidRPr="00F255AD">
        <w:rPr>
          <w:rFonts w:ascii="David" w:hAnsi="David"/>
          <w:noProof w:val="0"/>
          <w:rtl/>
        </w:rPr>
        <w:t>ער אני לכך שאחד מהשיקולים לדחיית בקשה להארכת מועד היא הסתמכותו של משיב בערעור כי פסק הדין שניתן בעניינו סופי לאור חלוף המועד להגשת הערעור. הסתמכות כזו מהווה פעמים רבות טעם מספיק לדחיית בקשה להארכת מועד. במקרה דנן, אין מקום לכך. בקשת ה</w:t>
      </w:r>
      <w:r w:rsidR="00F255AD" w:rsidRPr="00F255AD">
        <w:rPr>
          <w:rFonts w:ascii="David" w:hAnsi="David" w:hint="cs"/>
          <w:noProof w:val="0"/>
          <w:rtl/>
        </w:rPr>
        <w:t xml:space="preserve">משיבה לביטול פסק הדין </w:t>
      </w:r>
      <w:r w:rsidRPr="00F255AD">
        <w:rPr>
          <w:rFonts w:ascii="David" w:hAnsi="David"/>
          <w:noProof w:val="0"/>
          <w:rtl/>
        </w:rPr>
        <w:t xml:space="preserve">שהוגשה לבית משפט קמא כללה </w:t>
      </w:r>
      <w:r w:rsidR="00F255AD" w:rsidRPr="00F255AD">
        <w:rPr>
          <w:rFonts w:ascii="David" w:hAnsi="David" w:hint="cs"/>
          <w:noProof w:val="0"/>
          <w:rtl/>
        </w:rPr>
        <w:t xml:space="preserve">כאמור </w:t>
      </w:r>
      <w:r w:rsidRPr="00F255AD">
        <w:rPr>
          <w:rFonts w:ascii="David" w:hAnsi="David"/>
          <w:noProof w:val="0"/>
          <w:rtl/>
        </w:rPr>
        <w:t xml:space="preserve">בקשה חלופית למתן ארכה להגשת </w:t>
      </w:r>
      <w:r w:rsidR="00F255AD" w:rsidRPr="00F255AD">
        <w:rPr>
          <w:rFonts w:ascii="David" w:hAnsi="David" w:hint="cs"/>
          <w:noProof w:val="0"/>
          <w:rtl/>
        </w:rPr>
        <w:t>ערעור</w:t>
      </w:r>
      <w:r w:rsidRPr="00F255AD">
        <w:rPr>
          <w:rFonts w:ascii="David" w:hAnsi="David"/>
          <w:noProof w:val="0"/>
          <w:rtl/>
        </w:rPr>
        <w:t>. מכאן שהמ</w:t>
      </w:r>
      <w:r w:rsidR="00F255AD" w:rsidRPr="00F255AD">
        <w:rPr>
          <w:rFonts w:ascii="David" w:hAnsi="David" w:hint="cs"/>
          <w:noProof w:val="0"/>
          <w:rtl/>
        </w:rPr>
        <w:t>בקש</w:t>
      </w:r>
      <w:r w:rsidRPr="00F255AD">
        <w:rPr>
          <w:rFonts w:ascii="David" w:hAnsi="David"/>
          <w:noProof w:val="0"/>
          <w:rtl/>
        </w:rPr>
        <w:t xml:space="preserve"> ידע כי בכוונת המ</w:t>
      </w:r>
      <w:r w:rsidR="00F255AD" w:rsidRPr="00F255AD">
        <w:rPr>
          <w:rFonts w:ascii="David" w:hAnsi="David" w:hint="cs"/>
          <w:noProof w:val="0"/>
          <w:rtl/>
        </w:rPr>
        <w:t xml:space="preserve">שיבה </w:t>
      </w:r>
      <w:r w:rsidRPr="00F255AD">
        <w:rPr>
          <w:rFonts w:ascii="David" w:hAnsi="David"/>
          <w:noProof w:val="0"/>
          <w:rtl/>
        </w:rPr>
        <w:t xml:space="preserve"> לערער על פסק </w:t>
      </w:r>
      <w:r w:rsidR="00F255AD" w:rsidRPr="00F255AD">
        <w:rPr>
          <w:rFonts w:ascii="David" w:hAnsi="David"/>
          <w:noProof w:val="0"/>
          <w:rtl/>
        </w:rPr>
        <w:t>הדין. בנוסף, גם ההחלטה מיום</w:t>
      </w:r>
      <w:r w:rsidR="00F255AD" w:rsidRPr="00F255AD">
        <w:rPr>
          <w:rFonts w:ascii="David" w:hAnsi="David" w:hint="cs"/>
          <w:noProof w:val="0"/>
          <w:rtl/>
        </w:rPr>
        <w:t xml:space="preserve"> 5.1.2023</w:t>
      </w:r>
      <w:r w:rsidRPr="00F255AD">
        <w:rPr>
          <w:rFonts w:ascii="David" w:hAnsi="David"/>
          <w:noProof w:val="0"/>
          <w:rtl/>
        </w:rPr>
        <w:t xml:space="preserve"> הדוחה את בקשת המ</w:t>
      </w:r>
      <w:r w:rsidR="00F255AD" w:rsidRPr="00F255AD">
        <w:rPr>
          <w:rFonts w:ascii="David" w:hAnsi="David" w:hint="cs"/>
          <w:noProof w:val="0"/>
          <w:rtl/>
        </w:rPr>
        <w:t>שיבה</w:t>
      </w:r>
      <w:r w:rsidRPr="00F255AD">
        <w:rPr>
          <w:rFonts w:ascii="David" w:hAnsi="David"/>
          <w:noProof w:val="0"/>
          <w:rtl/>
        </w:rPr>
        <w:t xml:space="preserve"> ניתנת לכשעצמה לערעור</w:t>
      </w:r>
      <w:r w:rsidR="00F255AD" w:rsidRPr="00F255AD">
        <w:rPr>
          <w:rFonts w:ascii="David" w:hAnsi="David" w:hint="cs"/>
          <w:noProof w:val="0"/>
          <w:rtl/>
        </w:rPr>
        <w:t xml:space="preserve"> שטרם ח</w:t>
      </w:r>
      <w:r w:rsidR="0030238D">
        <w:rPr>
          <w:rFonts w:ascii="David" w:hAnsi="David" w:hint="cs"/>
          <w:noProof w:val="0"/>
          <w:rtl/>
        </w:rPr>
        <w:t xml:space="preserve">לף המועד להגשתו במועד בו הוגשה </w:t>
      </w:r>
      <w:r w:rsidR="00F255AD" w:rsidRPr="00F255AD">
        <w:rPr>
          <w:rFonts w:ascii="David" w:hAnsi="David" w:hint="cs"/>
          <w:noProof w:val="0"/>
          <w:rtl/>
        </w:rPr>
        <w:t>הודעת הערעור</w:t>
      </w:r>
      <w:r w:rsidR="00F8426D">
        <w:rPr>
          <w:rFonts w:ascii="David" w:hAnsi="David" w:hint="cs"/>
          <w:noProof w:val="0"/>
          <w:rtl/>
        </w:rPr>
        <w:t>,</w:t>
      </w:r>
      <w:r w:rsidR="0030238D">
        <w:rPr>
          <w:rFonts w:ascii="David" w:hAnsi="David" w:hint="cs"/>
          <w:noProof w:val="0"/>
          <w:rtl/>
        </w:rPr>
        <w:t xml:space="preserve"> אשר </w:t>
      </w:r>
      <w:r w:rsidR="00A32C78">
        <w:rPr>
          <w:rFonts w:ascii="David" w:hAnsi="David" w:hint="cs"/>
          <w:noProof w:val="0"/>
          <w:rtl/>
        </w:rPr>
        <w:t xml:space="preserve">כאמור </w:t>
      </w:r>
      <w:r w:rsidR="0030238D">
        <w:rPr>
          <w:rFonts w:ascii="David" w:hAnsi="David" w:hint="cs"/>
          <w:noProof w:val="0"/>
          <w:rtl/>
        </w:rPr>
        <w:t>הוגש ביום 16.1.2023</w:t>
      </w:r>
      <w:r w:rsidR="00F8426D">
        <w:rPr>
          <w:rFonts w:ascii="David" w:hAnsi="David" w:hint="cs"/>
          <w:noProof w:val="0"/>
          <w:rtl/>
        </w:rPr>
        <w:t>,</w:t>
      </w:r>
      <w:r w:rsidR="0030238D">
        <w:rPr>
          <w:rFonts w:ascii="David" w:hAnsi="David" w:hint="cs"/>
          <w:noProof w:val="0"/>
          <w:rtl/>
        </w:rPr>
        <w:t xml:space="preserve"> אחד עשר ימים בלבד לאחר שניתנה ההחלטה</w:t>
      </w:r>
      <w:r w:rsidRPr="00F255AD">
        <w:rPr>
          <w:rFonts w:ascii="David" w:hAnsi="David"/>
          <w:noProof w:val="0"/>
          <w:rtl/>
        </w:rPr>
        <w:t xml:space="preserve">. </w:t>
      </w:r>
    </w:p>
    <w:p w:rsidR="00F255AD" w:rsidRPr="0030238D" w:rsidRDefault="00F255AD" w:rsidP="00F255AD">
      <w:pPr>
        <w:pStyle w:val="ad"/>
        <w:rPr>
          <w:rFonts w:ascii="David" w:hAnsi="David"/>
          <w:noProof w:val="0"/>
          <w:rtl/>
        </w:rPr>
      </w:pPr>
    </w:p>
    <w:p w:rsidR="00287FE0" w:rsidRPr="00B2670D" w:rsidRDefault="00287FE0" w:rsidP="00287FE0">
      <w:pPr>
        <w:rPr>
          <w:rFonts w:ascii="David" w:hAnsi="David"/>
          <w:noProof w:val="0"/>
        </w:rPr>
      </w:pPr>
    </w:p>
    <w:p w:rsidR="00287FE0" w:rsidRPr="00CD10C0" w:rsidRDefault="002A764F" w:rsidP="00F8426D">
      <w:pPr>
        <w:pStyle w:val="ad"/>
        <w:numPr>
          <w:ilvl w:val="0"/>
          <w:numId w:val="1"/>
        </w:numPr>
        <w:spacing w:line="360" w:lineRule="auto"/>
        <w:jc w:val="both"/>
        <w:rPr>
          <w:rFonts w:ascii="Arial" w:hAnsi="Arial"/>
          <w:noProof w:val="0"/>
          <w:rtl/>
        </w:rPr>
      </w:pPr>
      <w:r>
        <w:rPr>
          <w:rFonts w:ascii="David" w:hAnsi="David" w:hint="cs"/>
          <w:noProof w:val="0"/>
          <w:rtl/>
        </w:rPr>
        <w:t xml:space="preserve">שני </w:t>
      </w:r>
      <w:r w:rsidR="00287FE0">
        <w:rPr>
          <w:rFonts w:ascii="David" w:hAnsi="David"/>
          <w:noProof w:val="0"/>
          <w:rtl/>
        </w:rPr>
        <w:t>ה</w:t>
      </w:r>
      <w:r w:rsidR="00CD10C0">
        <w:rPr>
          <w:rFonts w:ascii="David" w:hAnsi="David" w:hint="cs"/>
          <w:noProof w:val="0"/>
          <w:rtl/>
        </w:rPr>
        <w:t>צדדים</w:t>
      </w:r>
      <w:r w:rsidR="00287FE0">
        <w:rPr>
          <w:rFonts w:ascii="David" w:hAnsi="David"/>
          <w:noProof w:val="0"/>
          <w:rtl/>
        </w:rPr>
        <w:t xml:space="preserve"> </w:t>
      </w:r>
      <w:r w:rsidR="00CD10C0">
        <w:rPr>
          <w:rFonts w:ascii="David" w:hAnsi="David" w:hint="cs"/>
          <w:noProof w:val="0"/>
          <w:rtl/>
        </w:rPr>
        <w:t>העלו טענות שונות</w:t>
      </w:r>
      <w:r w:rsidR="00CD10C0">
        <w:rPr>
          <w:rFonts w:ascii="David" w:hAnsi="David"/>
          <w:noProof w:val="0"/>
          <w:rtl/>
        </w:rPr>
        <w:t xml:space="preserve"> בכל הקשור לסיכויי הערעור</w:t>
      </w:r>
      <w:r w:rsidR="00CD10C0">
        <w:rPr>
          <w:rFonts w:ascii="David" w:hAnsi="David" w:hint="cs"/>
          <w:noProof w:val="0"/>
          <w:rtl/>
        </w:rPr>
        <w:t>.</w:t>
      </w:r>
      <w:r>
        <w:rPr>
          <w:rFonts w:ascii="David" w:hAnsi="David" w:hint="cs"/>
          <w:noProof w:val="0"/>
          <w:rtl/>
        </w:rPr>
        <w:t xml:space="preserve"> בעוד ש</w:t>
      </w:r>
      <w:r w:rsidR="005733FF">
        <w:rPr>
          <w:rFonts w:ascii="David" w:hAnsi="David" w:hint="cs"/>
          <w:noProof w:val="0"/>
          <w:rtl/>
        </w:rPr>
        <w:t>ה</w:t>
      </w:r>
      <w:r>
        <w:rPr>
          <w:rFonts w:ascii="David" w:hAnsi="David" w:hint="cs"/>
          <w:noProof w:val="0"/>
          <w:rtl/>
        </w:rPr>
        <w:t>מבקש טען כי סיכויי</w:t>
      </w:r>
      <w:r w:rsidR="00F8426D">
        <w:rPr>
          <w:rFonts w:ascii="David" w:hAnsi="David" w:hint="cs"/>
          <w:noProof w:val="0"/>
          <w:rtl/>
        </w:rPr>
        <w:t>ו</w:t>
      </w:r>
      <w:r>
        <w:rPr>
          <w:rFonts w:ascii="David" w:hAnsi="David" w:hint="cs"/>
          <w:noProof w:val="0"/>
          <w:rtl/>
        </w:rPr>
        <w:t xml:space="preserve"> קלושים</w:t>
      </w:r>
      <w:r w:rsidR="005733FF">
        <w:rPr>
          <w:rFonts w:ascii="David" w:hAnsi="David" w:hint="cs"/>
          <w:noProof w:val="0"/>
          <w:rtl/>
        </w:rPr>
        <w:t>,</w:t>
      </w:r>
      <w:r>
        <w:rPr>
          <w:rFonts w:ascii="David" w:hAnsi="David" w:hint="cs"/>
          <w:noProof w:val="0"/>
          <w:rtl/>
        </w:rPr>
        <w:t xml:space="preserve"> טענה המשיבה בדיוק ההיפך. </w:t>
      </w:r>
      <w:r w:rsidR="00F8426D">
        <w:rPr>
          <w:rFonts w:ascii="David" w:hAnsi="David" w:hint="cs"/>
          <w:noProof w:val="0"/>
          <w:rtl/>
        </w:rPr>
        <w:t xml:space="preserve">מכל מקום, </w:t>
      </w:r>
      <w:r w:rsidR="00CD10C0">
        <w:rPr>
          <w:rFonts w:ascii="David" w:hAnsi="David" w:hint="cs"/>
          <w:noProof w:val="0"/>
          <w:rtl/>
        </w:rPr>
        <w:t xml:space="preserve">בנסיבות שתוארו לעיל, </w:t>
      </w:r>
      <w:r>
        <w:rPr>
          <w:rFonts w:ascii="David" w:hAnsi="David"/>
          <w:noProof w:val="0"/>
          <w:rtl/>
        </w:rPr>
        <w:t>יש מקום לאפשר ל</w:t>
      </w:r>
      <w:r>
        <w:rPr>
          <w:rFonts w:ascii="David" w:hAnsi="David" w:hint="cs"/>
          <w:noProof w:val="0"/>
          <w:rtl/>
        </w:rPr>
        <w:t xml:space="preserve">משיבה </w:t>
      </w:r>
      <w:r w:rsidR="00F8426D">
        <w:rPr>
          <w:rFonts w:ascii="David" w:hAnsi="David"/>
          <w:noProof w:val="0"/>
          <w:rtl/>
        </w:rPr>
        <w:t>להציג</w:t>
      </w:r>
      <w:r w:rsidR="00F8426D">
        <w:rPr>
          <w:rFonts w:ascii="David" w:hAnsi="David" w:hint="cs"/>
          <w:noProof w:val="0"/>
          <w:rtl/>
        </w:rPr>
        <w:t xml:space="preserve"> טענותיה</w:t>
      </w:r>
      <w:r w:rsidR="00287FE0">
        <w:rPr>
          <w:rFonts w:ascii="David" w:hAnsi="David"/>
          <w:noProof w:val="0"/>
          <w:rtl/>
        </w:rPr>
        <w:t xml:space="preserve"> בפני בית המשפט של הערעור, אשר יבחן אותן ויחליט כפי שיקול דעתו. דרך זו עדיפ</w:t>
      </w:r>
      <w:r w:rsidR="00CD10C0">
        <w:rPr>
          <w:rFonts w:ascii="David" w:hAnsi="David"/>
          <w:noProof w:val="0"/>
          <w:rtl/>
        </w:rPr>
        <w:t>ה על פני סגירת הדלת בפני המ</w:t>
      </w:r>
      <w:r w:rsidR="00CD10C0">
        <w:rPr>
          <w:rFonts w:ascii="David" w:hAnsi="David" w:hint="cs"/>
          <w:noProof w:val="0"/>
          <w:rtl/>
        </w:rPr>
        <w:t>שיבה</w:t>
      </w:r>
      <w:r w:rsidR="00287FE0">
        <w:rPr>
          <w:rFonts w:ascii="David" w:hAnsi="David"/>
          <w:noProof w:val="0"/>
          <w:rtl/>
        </w:rPr>
        <w:t xml:space="preserve"> בשל טענת </w:t>
      </w:r>
      <w:r w:rsidR="00CD10C0">
        <w:rPr>
          <w:rFonts w:ascii="David" w:hAnsi="David"/>
          <w:noProof w:val="0"/>
          <w:rtl/>
        </w:rPr>
        <w:t>האיחור בהגשת הערעור</w:t>
      </w:r>
      <w:r w:rsidR="00CD10C0">
        <w:rPr>
          <w:rFonts w:ascii="David" w:hAnsi="David" w:hint="cs"/>
          <w:noProof w:val="0"/>
          <w:rtl/>
        </w:rPr>
        <w:t xml:space="preserve">. </w:t>
      </w:r>
      <w:r w:rsidR="00287FE0">
        <w:rPr>
          <w:rFonts w:ascii="Arial" w:hAnsi="Arial"/>
          <w:noProof w:val="0"/>
          <w:rtl/>
        </w:rPr>
        <w:t xml:space="preserve"> </w:t>
      </w:r>
      <w:r w:rsidR="00287FE0" w:rsidRPr="00CD10C0">
        <w:rPr>
          <w:rFonts w:ascii="Arial" w:hAnsi="Arial"/>
          <w:noProof w:val="0"/>
          <w:rtl/>
        </w:rPr>
        <w:t xml:space="preserve"> </w:t>
      </w:r>
    </w:p>
    <w:p w:rsidR="00287FE0" w:rsidRPr="00F8426D" w:rsidRDefault="00287FE0" w:rsidP="00287FE0">
      <w:pPr>
        <w:rPr>
          <w:rFonts w:ascii="David" w:hAnsi="David"/>
          <w:noProof w:val="0"/>
        </w:rPr>
      </w:pPr>
    </w:p>
    <w:p w:rsidR="005733FF" w:rsidRPr="005733FF" w:rsidRDefault="00287FE0" w:rsidP="00B468C6">
      <w:pPr>
        <w:pStyle w:val="ad"/>
        <w:numPr>
          <w:ilvl w:val="0"/>
          <w:numId w:val="1"/>
        </w:numPr>
        <w:spacing w:line="360" w:lineRule="auto"/>
        <w:jc w:val="both"/>
        <w:rPr>
          <w:rFonts w:ascii="Arial" w:hAnsi="Arial"/>
          <w:noProof w:val="0"/>
        </w:rPr>
      </w:pPr>
      <w:r w:rsidRPr="00B468C6">
        <w:rPr>
          <w:rFonts w:ascii="David" w:hAnsi="David"/>
          <w:noProof w:val="0"/>
          <w:rtl/>
        </w:rPr>
        <w:t xml:space="preserve">סוף דבר, הבקשה </w:t>
      </w:r>
      <w:r w:rsidR="000F18E5" w:rsidRPr="00B468C6">
        <w:rPr>
          <w:rFonts w:ascii="David" w:hAnsi="David" w:hint="cs"/>
          <w:noProof w:val="0"/>
          <w:rtl/>
        </w:rPr>
        <w:t>למחיקת הערעור נדחית</w:t>
      </w:r>
      <w:r w:rsidR="00F8426D" w:rsidRPr="00B468C6">
        <w:rPr>
          <w:rFonts w:ascii="David" w:hAnsi="David" w:hint="cs"/>
          <w:noProof w:val="0"/>
          <w:rtl/>
        </w:rPr>
        <w:t>.</w:t>
      </w:r>
    </w:p>
    <w:p w:rsidR="005733FF" w:rsidRPr="005733FF" w:rsidRDefault="005733FF" w:rsidP="005733FF">
      <w:pPr>
        <w:pStyle w:val="ad"/>
        <w:rPr>
          <w:rFonts w:ascii="David" w:hAnsi="David"/>
          <w:noProof w:val="0"/>
          <w:rtl/>
        </w:rPr>
      </w:pPr>
    </w:p>
    <w:p w:rsidR="00C702A0" w:rsidRPr="00CA66FF" w:rsidRDefault="000F18E5" w:rsidP="00B468C6">
      <w:pPr>
        <w:pStyle w:val="ad"/>
        <w:numPr>
          <w:ilvl w:val="0"/>
          <w:numId w:val="1"/>
        </w:numPr>
        <w:spacing w:line="360" w:lineRule="auto"/>
        <w:jc w:val="both"/>
        <w:rPr>
          <w:rFonts w:ascii="Arial" w:hAnsi="Arial"/>
          <w:noProof w:val="0"/>
        </w:rPr>
      </w:pPr>
      <w:r w:rsidRPr="00B468C6">
        <w:rPr>
          <w:rFonts w:ascii="David" w:hAnsi="David" w:hint="cs"/>
          <w:noProof w:val="0"/>
          <w:rtl/>
        </w:rPr>
        <w:t xml:space="preserve"> </w:t>
      </w:r>
      <w:r w:rsidR="00F8426D" w:rsidRPr="00B468C6">
        <w:rPr>
          <w:rFonts w:ascii="David" w:hAnsi="David" w:hint="cs"/>
          <w:noProof w:val="0"/>
          <w:rtl/>
        </w:rPr>
        <w:t>אשר להוצאות המשפט,</w:t>
      </w:r>
      <w:r w:rsidR="00DB6BE7" w:rsidRPr="00B468C6">
        <w:rPr>
          <w:rFonts w:ascii="David" w:hAnsi="David" w:hint="cs"/>
          <w:noProof w:val="0"/>
          <w:rtl/>
        </w:rPr>
        <w:t xml:space="preserve"> אף שהבקשה למחיקת הערעור נדחתה על ידי</w:t>
      </w:r>
      <w:r w:rsidR="00F8426D" w:rsidRPr="00B468C6">
        <w:rPr>
          <w:rFonts w:ascii="David" w:hAnsi="David" w:hint="cs"/>
          <w:noProof w:val="0"/>
          <w:rtl/>
        </w:rPr>
        <w:t xml:space="preserve">, </w:t>
      </w:r>
      <w:r w:rsidR="00DB6BE7" w:rsidRPr="00B468C6">
        <w:rPr>
          <w:rFonts w:ascii="David" w:hAnsi="David" w:hint="cs"/>
          <w:noProof w:val="0"/>
          <w:rtl/>
        </w:rPr>
        <w:t>בנסיבות המקרה דנן בו כאמור המשיבה לא הגישה במועד הודעת ערעור</w:t>
      </w:r>
      <w:r w:rsidR="00E005DC">
        <w:rPr>
          <w:rFonts w:ascii="David" w:hAnsi="David" w:hint="cs"/>
          <w:noProof w:val="0"/>
          <w:rtl/>
        </w:rPr>
        <w:t xml:space="preserve"> על פסק הדין</w:t>
      </w:r>
      <w:r w:rsidR="00DB6BE7" w:rsidRPr="00B468C6">
        <w:rPr>
          <w:rFonts w:ascii="David" w:hAnsi="David" w:hint="cs"/>
          <w:noProof w:val="0"/>
          <w:rtl/>
        </w:rPr>
        <w:t xml:space="preserve"> מה שהוביל להגשת בקשה למחיקת הערעור</w:t>
      </w:r>
      <w:r w:rsidR="005733FF">
        <w:rPr>
          <w:rFonts w:ascii="David" w:hAnsi="David" w:hint="cs"/>
          <w:noProof w:val="0"/>
          <w:rtl/>
        </w:rPr>
        <w:t xml:space="preserve">, </w:t>
      </w:r>
      <w:r w:rsidR="00B468C6">
        <w:rPr>
          <w:rFonts w:ascii="David" w:hAnsi="David" w:hint="cs"/>
          <w:noProof w:val="0"/>
          <w:rtl/>
        </w:rPr>
        <w:t xml:space="preserve"> זכאי המבקש להוצאותיו </w:t>
      </w:r>
      <w:r w:rsidR="00CA66FF">
        <w:rPr>
          <w:rFonts w:ascii="David" w:hAnsi="David" w:hint="cs"/>
          <w:noProof w:val="0"/>
          <w:rtl/>
        </w:rPr>
        <w:t xml:space="preserve">ואני פוסק לטובתו סך של 2,000 ₪. </w:t>
      </w:r>
    </w:p>
    <w:p w:rsidR="00CA66FF" w:rsidRPr="00CA66FF" w:rsidRDefault="00CA66FF" w:rsidP="00CA66FF">
      <w:pPr>
        <w:pStyle w:val="ad"/>
        <w:rPr>
          <w:rFonts w:ascii="Arial" w:hAnsi="Arial"/>
          <w:noProof w:val="0"/>
          <w:rtl/>
        </w:rPr>
      </w:pPr>
    </w:p>
    <w:p w:rsidR="00287FE0" w:rsidRDefault="00287FE0" w:rsidP="00287FE0">
      <w:pPr>
        <w:pStyle w:val="ad"/>
        <w:numPr>
          <w:ilvl w:val="0"/>
          <w:numId w:val="1"/>
        </w:numPr>
        <w:spacing w:line="360" w:lineRule="auto"/>
        <w:jc w:val="both"/>
        <w:rPr>
          <w:rFonts w:ascii="Arial" w:hAnsi="Arial"/>
          <w:noProof w:val="0"/>
          <w:rtl/>
        </w:rPr>
      </w:pPr>
      <w:r>
        <w:rPr>
          <w:rFonts w:ascii="Arial" w:hAnsi="Arial"/>
          <w:noProof w:val="0"/>
          <w:rtl/>
        </w:rPr>
        <w:t>החלטתי ניתנה בתוקף תפקידי כרשם.</w:t>
      </w:r>
    </w:p>
    <w:p w:rsidR="00287FE0" w:rsidRDefault="00287FE0" w:rsidP="00287FE0">
      <w:pPr>
        <w:spacing w:line="360" w:lineRule="auto"/>
        <w:jc w:val="both"/>
        <w:rPr>
          <w:rFonts w:ascii="Arial" w:hAnsi="Arial"/>
          <w:noProof w:val="0"/>
        </w:rPr>
      </w:pPr>
    </w:p>
    <w:p w:rsidR="00287FE0" w:rsidRDefault="00287FE0" w:rsidP="00287FE0">
      <w:pPr>
        <w:spacing w:line="360" w:lineRule="auto"/>
        <w:ind w:firstLine="360"/>
        <w:jc w:val="both"/>
        <w:rPr>
          <w:rFonts w:ascii="Arial" w:hAnsi="Arial"/>
          <w:b/>
          <w:bCs/>
          <w:noProof w:val="0"/>
        </w:rPr>
      </w:pPr>
      <w:r>
        <w:rPr>
          <w:rFonts w:ascii="Arial" w:hAnsi="Arial"/>
          <w:b/>
          <w:bCs/>
          <w:noProof w:val="0"/>
          <w:rtl/>
        </w:rPr>
        <w:t xml:space="preserve">המזכירות תשלח החלטתי לצדדים. </w:t>
      </w:r>
    </w:p>
    <w:p w:rsidR="00694556" w:rsidRDefault="00694556">
      <w:pPr>
        <w:spacing w:line="360" w:lineRule="auto"/>
        <w:jc w:val="both"/>
        <w:rPr>
          <w:rFonts w:ascii="Arial" w:hAnsi="Arial"/>
          <w:noProof w:val="0"/>
          <w:rtl/>
        </w:rPr>
      </w:pPr>
    </w:p>
    <w:p w:rsidR="00694556" w:rsidRDefault="0043502B" w:rsidP="00CA66FF">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כ"ג אדר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16 מרץ 2023</w:t>
          </w:r>
        </w:sdtContent>
      </w:sdt>
      <w:r w:rsidR="00005C8B">
        <w:rPr>
          <w:rFonts w:ascii="Arial" w:hAnsi="Arial"/>
          <w:noProof w:val="0"/>
          <w:rtl/>
        </w:rPr>
        <w:t>, בהעדר הצדדים.</w:t>
      </w:r>
    </w:p>
    <w:p w:rsidR="00C43648" w:rsidRDefault="00EA5FE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jc w:val="right"/>
      </w:pPr>
      <w:r>
        <w:rPr>
          <w:rFonts w:hint="cs"/>
          <w:rtl/>
        </w:rPr>
        <w:tab/>
      </w:r>
      <w:r>
        <w:rPr>
          <w:rFonts w:hint="cs"/>
          <w:rtl/>
        </w:rPr>
        <w:tab/>
      </w:r>
      <w:r>
        <w:rPr>
          <w:rFonts w:hint="cs"/>
          <w:rtl/>
        </w:rPr>
        <w:tab/>
      </w:r>
      <w:r>
        <w:rPr>
          <w:rFonts w:hint="cs"/>
          <w:rtl/>
        </w:rPr>
        <w:tab/>
        <w:t xml:space="preserve">        </w:t>
      </w:r>
      <w:sdt>
        <w:sdtPr>
          <w:rPr>
            <w:rtl/>
          </w:rPr>
          <w:alias w:val="MergeField"/>
          <w:tag w:val="1237"/>
          <w:id w:val="1511801624"/>
        </w:sdtPr>
        <w:sdtEndPr/>
        <w:sdtContent>
          <w:r w:rsidR="00A41F69">
            <w:drawing>
              <wp:inline distT="0" distB="0" distL="0" distR="0" wp14:editId="50D07946">
                <wp:extent cx="981074"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81074" cy="13716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F5DB6">
      <w:headerReference w:type="default" r:id="rId9"/>
      <w:footerReference w:type="default" r:id="rId1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FE1" w:rsidRDefault="00EA5FE1">
      <w:r>
        <w:separator/>
      </w:r>
    </w:p>
  </w:endnote>
  <w:endnote w:type="continuationSeparator" w:id="0">
    <w:p w:rsidR="00EA5FE1" w:rsidRDefault="00EA5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84A7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84A7A">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FE1" w:rsidRDefault="00EA5FE1">
      <w:r>
        <w:separator/>
      </w:r>
    </w:p>
  </w:footnote>
  <w:footnote w:type="continuationSeparator" w:id="0">
    <w:p w:rsidR="00EA5FE1" w:rsidRDefault="00EA5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B95A71">
      <w:trPr>
        <w:trHeight w:hRule="exact" w:val="993"/>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 יפו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FA4EAF">
      <w:trPr>
        <w:trHeight w:val="337"/>
        <w:jc w:val="center"/>
      </w:trPr>
      <w:tc>
        <w:tcPr>
          <w:tcW w:w="8721" w:type="dxa"/>
          <w:gridSpan w:val="2"/>
        </w:tcPr>
        <w:p w:rsidR="007D45E3" w:rsidRPr="00FA4EAF" w:rsidRDefault="00EA5FE1" w:rsidP="0032553A">
          <w:pPr>
            <w:rPr>
              <w:b/>
              <w:bCs/>
              <w:noProof w:val="0"/>
              <w:sz w:val="26"/>
              <w:szCs w:val="26"/>
              <w:rtl/>
            </w:rPr>
          </w:pPr>
          <w:sdt>
            <w:sdtPr>
              <w:rPr>
                <w:sz w:val="26"/>
                <w:szCs w:val="26"/>
                <w:rtl/>
              </w:rPr>
              <w:alias w:val="1170"/>
              <w:tag w:val="1170"/>
              <w:id w:val="1066377040"/>
              <w:text w:multiLine="1"/>
            </w:sdtPr>
            <w:sdtEndPr/>
            <w:sdtContent>
              <w:r w:rsidR="001F5DB6">
                <w:rPr>
                  <w:b/>
                  <w:bCs/>
                  <w:noProof w:val="0"/>
                  <w:sz w:val="26"/>
                  <w:szCs w:val="26"/>
                  <w:rtl/>
                </w:rPr>
                <w:t>עמ"ש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1F5DB6">
                <w:rPr>
                  <w:b/>
                  <w:bCs/>
                  <w:noProof w:val="0"/>
                  <w:sz w:val="26"/>
                  <w:szCs w:val="26"/>
                  <w:rtl/>
                </w:rPr>
                <w:t>38861-01-23</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32553A">
                <w:rPr>
                  <w:rFonts w:hint="cs"/>
                  <w:b/>
                  <w:bCs/>
                  <w:noProof w:val="0"/>
                  <w:sz w:val="26"/>
                  <w:szCs w:val="26"/>
                  <w:rtl/>
                </w:rPr>
                <w:t xml:space="preserve">פלונית </w:t>
              </w:r>
              <w:r w:rsidR="001F5DB6">
                <w:rPr>
                  <w:b/>
                  <w:bCs/>
                  <w:noProof w:val="0"/>
                  <w:sz w:val="26"/>
                  <w:szCs w:val="26"/>
                  <w:rtl/>
                </w:rPr>
                <w:t xml:space="preserve">נ' </w:t>
              </w:r>
              <w:r w:rsidR="0032553A">
                <w:rPr>
                  <w:rFonts w:hint="cs"/>
                  <w:b/>
                  <w:bCs/>
                  <w:noProof w:val="0"/>
                  <w:sz w:val="26"/>
                  <w:szCs w:val="26"/>
                  <w:rtl/>
                </w:rPr>
                <w:t>פלוני</w:t>
              </w:r>
              <w:r w:rsidR="001F5DB6">
                <w:rPr>
                  <w:b/>
                  <w:bCs/>
                  <w:noProof w:val="0"/>
                  <w:sz w:val="26"/>
                  <w:szCs w:val="26"/>
                  <w:rtl/>
                </w:rPr>
                <w:t xml:space="preserve"> ואח'</w:t>
              </w:r>
            </w:sdtContent>
          </w:sdt>
        </w:p>
        <w:p w:rsidR="007D45E3" w:rsidRPr="00FA4EAF" w:rsidRDefault="007D45E3" w:rsidP="007D45E3">
          <w:pPr>
            <w:rPr>
              <w:b/>
              <w:bCs/>
              <w:noProof w:val="0"/>
              <w:sz w:val="26"/>
              <w:szCs w:val="26"/>
              <w:rtl/>
            </w:rPr>
          </w:pPr>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063B19"/>
    <w:multiLevelType w:val="hybridMultilevel"/>
    <w:tmpl w:val="83DCF160"/>
    <w:lvl w:ilvl="0" w:tplc="8DDEF12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434A"/>
    <w:rsid w:val="000564AB"/>
    <w:rsid w:val="00064FBD"/>
    <w:rsid w:val="00082AB2"/>
    <w:rsid w:val="000906FE"/>
    <w:rsid w:val="00096AF7"/>
    <w:rsid w:val="000A7EAB"/>
    <w:rsid w:val="000B344B"/>
    <w:rsid w:val="000C3B0F"/>
    <w:rsid w:val="000C3B60"/>
    <w:rsid w:val="000E0DD2"/>
    <w:rsid w:val="000E3AF1"/>
    <w:rsid w:val="000F0BC8"/>
    <w:rsid w:val="000F0DD6"/>
    <w:rsid w:val="000F18E5"/>
    <w:rsid w:val="00107E6D"/>
    <w:rsid w:val="0011194C"/>
    <w:rsid w:val="00114105"/>
    <w:rsid w:val="0011424C"/>
    <w:rsid w:val="001173C6"/>
    <w:rsid w:val="001367BC"/>
    <w:rsid w:val="00144D2A"/>
    <w:rsid w:val="0014653E"/>
    <w:rsid w:val="0015775B"/>
    <w:rsid w:val="00180519"/>
    <w:rsid w:val="0018760D"/>
    <w:rsid w:val="00191C82"/>
    <w:rsid w:val="001B48A4"/>
    <w:rsid w:val="001B4A48"/>
    <w:rsid w:val="001C3FD7"/>
    <w:rsid w:val="001C4003"/>
    <w:rsid w:val="001C6BF4"/>
    <w:rsid w:val="001D3441"/>
    <w:rsid w:val="001D4DBF"/>
    <w:rsid w:val="001E7141"/>
    <w:rsid w:val="001E75CA"/>
    <w:rsid w:val="001F5DB6"/>
    <w:rsid w:val="00214780"/>
    <w:rsid w:val="002265FF"/>
    <w:rsid w:val="002301BE"/>
    <w:rsid w:val="00236C95"/>
    <w:rsid w:val="00255C85"/>
    <w:rsid w:val="00271B56"/>
    <w:rsid w:val="00287FE0"/>
    <w:rsid w:val="00291593"/>
    <w:rsid w:val="002961CA"/>
    <w:rsid w:val="002A612E"/>
    <w:rsid w:val="002A764F"/>
    <w:rsid w:val="002C344E"/>
    <w:rsid w:val="002C49B3"/>
    <w:rsid w:val="002C541D"/>
    <w:rsid w:val="002E75E9"/>
    <w:rsid w:val="0030238D"/>
    <w:rsid w:val="00307A6A"/>
    <w:rsid w:val="00307C40"/>
    <w:rsid w:val="00320433"/>
    <w:rsid w:val="00320FCB"/>
    <w:rsid w:val="003230C7"/>
    <w:rsid w:val="0032553A"/>
    <w:rsid w:val="00327E50"/>
    <w:rsid w:val="00334EB3"/>
    <w:rsid w:val="0033597A"/>
    <w:rsid w:val="00343D89"/>
    <w:rsid w:val="003450E9"/>
    <w:rsid w:val="00355C25"/>
    <w:rsid w:val="003579AA"/>
    <w:rsid w:val="00362612"/>
    <w:rsid w:val="0036743F"/>
    <w:rsid w:val="0037082A"/>
    <w:rsid w:val="003715DD"/>
    <w:rsid w:val="003763AB"/>
    <w:rsid w:val="003823E0"/>
    <w:rsid w:val="00397D13"/>
    <w:rsid w:val="003A4521"/>
    <w:rsid w:val="003B79AC"/>
    <w:rsid w:val="003D1C8C"/>
    <w:rsid w:val="0040096C"/>
    <w:rsid w:val="00410AC8"/>
    <w:rsid w:val="00414F1F"/>
    <w:rsid w:val="0043125D"/>
    <w:rsid w:val="0043502B"/>
    <w:rsid w:val="0044392E"/>
    <w:rsid w:val="004443AC"/>
    <w:rsid w:val="00451E28"/>
    <w:rsid w:val="00453040"/>
    <w:rsid w:val="00457B26"/>
    <w:rsid w:val="00461E6B"/>
    <w:rsid w:val="00462C62"/>
    <w:rsid w:val="00465D36"/>
    <w:rsid w:val="00473D67"/>
    <w:rsid w:val="004B1609"/>
    <w:rsid w:val="004C17EE"/>
    <w:rsid w:val="004C4BDF"/>
    <w:rsid w:val="004D1187"/>
    <w:rsid w:val="004D3AA0"/>
    <w:rsid w:val="004E1987"/>
    <w:rsid w:val="004E2E15"/>
    <w:rsid w:val="004E6E3C"/>
    <w:rsid w:val="004F41A6"/>
    <w:rsid w:val="00516AB1"/>
    <w:rsid w:val="00520898"/>
    <w:rsid w:val="00523621"/>
    <w:rsid w:val="00524986"/>
    <w:rsid w:val="005268F6"/>
    <w:rsid w:val="00534284"/>
    <w:rsid w:val="0054494A"/>
    <w:rsid w:val="00547DB7"/>
    <w:rsid w:val="005733FF"/>
    <w:rsid w:val="005C60D3"/>
    <w:rsid w:val="005F4F09"/>
    <w:rsid w:val="0061431B"/>
    <w:rsid w:val="00617CEE"/>
    <w:rsid w:val="00622BAA"/>
    <w:rsid w:val="006306CF"/>
    <w:rsid w:val="006408BD"/>
    <w:rsid w:val="00644E9A"/>
    <w:rsid w:val="0064797C"/>
    <w:rsid w:val="00671BD5"/>
    <w:rsid w:val="006805C1"/>
    <w:rsid w:val="00684D69"/>
    <w:rsid w:val="00686C21"/>
    <w:rsid w:val="006931C1"/>
    <w:rsid w:val="00694556"/>
    <w:rsid w:val="00695699"/>
    <w:rsid w:val="006A751E"/>
    <w:rsid w:val="006C30C5"/>
    <w:rsid w:val="006C423C"/>
    <w:rsid w:val="006D2861"/>
    <w:rsid w:val="006D3B31"/>
    <w:rsid w:val="006E0D96"/>
    <w:rsid w:val="006E1A53"/>
    <w:rsid w:val="006F56E6"/>
    <w:rsid w:val="00704EDA"/>
    <w:rsid w:val="00721122"/>
    <w:rsid w:val="00721125"/>
    <w:rsid w:val="00733FC7"/>
    <w:rsid w:val="00744B1C"/>
    <w:rsid w:val="00753019"/>
    <w:rsid w:val="00754801"/>
    <w:rsid w:val="007863B8"/>
    <w:rsid w:val="00792EB9"/>
    <w:rsid w:val="00795365"/>
    <w:rsid w:val="007A351D"/>
    <w:rsid w:val="007B7765"/>
    <w:rsid w:val="007C5BDD"/>
    <w:rsid w:val="007C5D6D"/>
    <w:rsid w:val="007D45E3"/>
    <w:rsid w:val="007D677B"/>
    <w:rsid w:val="007E6115"/>
    <w:rsid w:val="007E6C4D"/>
    <w:rsid w:val="007F3A72"/>
    <w:rsid w:val="007F4609"/>
    <w:rsid w:val="00815328"/>
    <w:rsid w:val="008176A1"/>
    <w:rsid w:val="00820005"/>
    <w:rsid w:val="008311D5"/>
    <w:rsid w:val="00844318"/>
    <w:rsid w:val="00863F5D"/>
    <w:rsid w:val="00870890"/>
    <w:rsid w:val="00873602"/>
    <w:rsid w:val="00875D12"/>
    <w:rsid w:val="008800CD"/>
    <w:rsid w:val="0088479D"/>
    <w:rsid w:val="00896889"/>
    <w:rsid w:val="008C3B22"/>
    <w:rsid w:val="008C5714"/>
    <w:rsid w:val="008D10B2"/>
    <w:rsid w:val="008D2C1F"/>
    <w:rsid w:val="008D2F7B"/>
    <w:rsid w:val="00903896"/>
    <w:rsid w:val="00906F3D"/>
    <w:rsid w:val="009124B3"/>
    <w:rsid w:val="00941805"/>
    <w:rsid w:val="0094424E"/>
    <w:rsid w:val="00955642"/>
    <w:rsid w:val="009622DF"/>
    <w:rsid w:val="00967DFF"/>
    <w:rsid w:val="0097309F"/>
    <w:rsid w:val="00994341"/>
    <w:rsid w:val="009A6DE2"/>
    <w:rsid w:val="009B4939"/>
    <w:rsid w:val="009D1A48"/>
    <w:rsid w:val="009D532D"/>
    <w:rsid w:val="009E1CE7"/>
    <w:rsid w:val="009E4EA5"/>
    <w:rsid w:val="009E6C67"/>
    <w:rsid w:val="009F164B"/>
    <w:rsid w:val="009F1897"/>
    <w:rsid w:val="009F323C"/>
    <w:rsid w:val="009F6F04"/>
    <w:rsid w:val="00A23CAC"/>
    <w:rsid w:val="00A32C78"/>
    <w:rsid w:val="00A3392B"/>
    <w:rsid w:val="00A41F69"/>
    <w:rsid w:val="00A74101"/>
    <w:rsid w:val="00A84A7A"/>
    <w:rsid w:val="00A85B79"/>
    <w:rsid w:val="00A94B64"/>
    <w:rsid w:val="00AA3229"/>
    <w:rsid w:val="00AA3362"/>
    <w:rsid w:val="00AA7596"/>
    <w:rsid w:val="00AB5E52"/>
    <w:rsid w:val="00AC3B02"/>
    <w:rsid w:val="00AC3B7B"/>
    <w:rsid w:val="00AC5209"/>
    <w:rsid w:val="00AD00A6"/>
    <w:rsid w:val="00AE729E"/>
    <w:rsid w:val="00AE7752"/>
    <w:rsid w:val="00AF7FDA"/>
    <w:rsid w:val="00B03206"/>
    <w:rsid w:val="00B06003"/>
    <w:rsid w:val="00B2670D"/>
    <w:rsid w:val="00B468C6"/>
    <w:rsid w:val="00B5356E"/>
    <w:rsid w:val="00B60B47"/>
    <w:rsid w:val="00B809AD"/>
    <w:rsid w:val="00B80CBD"/>
    <w:rsid w:val="00B86096"/>
    <w:rsid w:val="00B95A71"/>
    <w:rsid w:val="00B964D9"/>
    <w:rsid w:val="00BA0A7C"/>
    <w:rsid w:val="00BA517C"/>
    <w:rsid w:val="00BB2C9B"/>
    <w:rsid w:val="00BB3D05"/>
    <w:rsid w:val="00BB73BE"/>
    <w:rsid w:val="00BC2D89"/>
    <w:rsid w:val="00BD6531"/>
    <w:rsid w:val="00BE05B2"/>
    <w:rsid w:val="00BF1908"/>
    <w:rsid w:val="00BF7F3B"/>
    <w:rsid w:val="00C22D93"/>
    <w:rsid w:val="00C31120"/>
    <w:rsid w:val="00C34482"/>
    <w:rsid w:val="00C43648"/>
    <w:rsid w:val="00C50A9F"/>
    <w:rsid w:val="00C53EB8"/>
    <w:rsid w:val="00C5407F"/>
    <w:rsid w:val="00C545AF"/>
    <w:rsid w:val="00C636DF"/>
    <w:rsid w:val="00C642FA"/>
    <w:rsid w:val="00C65565"/>
    <w:rsid w:val="00C702A0"/>
    <w:rsid w:val="00C932B6"/>
    <w:rsid w:val="00CA66FF"/>
    <w:rsid w:val="00CA7605"/>
    <w:rsid w:val="00CC7622"/>
    <w:rsid w:val="00CD10C0"/>
    <w:rsid w:val="00CD2DBD"/>
    <w:rsid w:val="00CD608F"/>
    <w:rsid w:val="00D27982"/>
    <w:rsid w:val="00D33B86"/>
    <w:rsid w:val="00D43ABB"/>
    <w:rsid w:val="00D53924"/>
    <w:rsid w:val="00D55D0C"/>
    <w:rsid w:val="00D627CF"/>
    <w:rsid w:val="00D74378"/>
    <w:rsid w:val="00D753A1"/>
    <w:rsid w:val="00D96D8C"/>
    <w:rsid w:val="00DA6649"/>
    <w:rsid w:val="00DB6BE7"/>
    <w:rsid w:val="00DC1259"/>
    <w:rsid w:val="00DC1BD2"/>
    <w:rsid w:val="00DC2571"/>
    <w:rsid w:val="00DC487C"/>
    <w:rsid w:val="00DE06DA"/>
    <w:rsid w:val="00DE6BF6"/>
    <w:rsid w:val="00E005DC"/>
    <w:rsid w:val="00E1068A"/>
    <w:rsid w:val="00E1265B"/>
    <w:rsid w:val="00E25884"/>
    <w:rsid w:val="00E25B55"/>
    <w:rsid w:val="00E31C2B"/>
    <w:rsid w:val="00E37181"/>
    <w:rsid w:val="00E5426A"/>
    <w:rsid w:val="00E54642"/>
    <w:rsid w:val="00E579D7"/>
    <w:rsid w:val="00E64A12"/>
    <w:rsid w:val="00E80CBE"/>
    <w:rsid w:val="00E962E3"/>
    <w:rsid w:val="00E96B64"/>
    <w:rsid w:val="00EA5FE1"/>
    <w:rsid w:val="00EB6C79"/>
    <w:rsid w:val="00EC37E9"/>
    <w:rsid w:val="00ED1135"/>
    <w:rsid w:val="00EE6EF4"/>
    <w:rsid w:val="00EF0825"/>
    <w:rsid w:val="00F06995"/>
    <w:rsid w:val="00F13623"/>
    <w:rsid w:val="00F16E03"/>
    <w:rsid w:val="00F255AD"/>
    <w:rsid w:val="00F44D1D"/>
    <w:rsid w:val="00F8426D"/>
    <w:rsid w:val="00F84B6D"/>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287F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777631">
      <w:bodyDiv w:val="1"/>
      <w:marLeft w:val="0"/>
      <w:marRight w:val="0"/>
      <w:marTop w:val="0"/>
      <w:marBottom w:val="0"/>
      <w:divBdr>
        <w:top w:val="none" w:sz="0" w:space="0" w:color="auto"/>
        <w:left w:val="none" w:sz="0" w:space="0" w:color="auto"/>
        <w:bottom w:val="none" w:sz="0" w:space="0" w:color="auto"/>
        <w:right w:val="none" w:sz="0" w:space="0" w:color="auto"/>
      </w:divBdr>
    </w:div>
    <w:div w:id="263612700">
      <w:bodyDiv w:val="1"/>
      <w:marLeft w:val="0"/>
      <w:marRight w:val="0"/>
      <w:marTop w:val="0"/>
      <w:marBottom w:val="0"/>
      <w:divBdr>
        <w:top w:val="none" w:sz="0" w:space="0" w:color="auto"/>
        <w:left w:val="none" w:sz="0" w:space="0" w:color="auto"/>
        <w:bottom w:val="none" w:sz="0" w:space="0" w:color="auto"/>
        <w:right w:val="none" w:sz="0" w:space="0" w:color="auto"/>
      </w:divBdr>
    </w:div>
    <w:div w:id="751001866">
      <w:bodyDiv w:val="1"/>
      <w:marLeft w:val="0"/>
      <w:marRight w:val="0"/>
      <w:marTop w:val="0"/>
      <w:marBottom w:val="0"/>
      <w:divBdr>
        <w:top w:val="none" w:sz="0" w:space="0" w:color="auto"/>
        <w:left w:val="none" w:sz="0" w:space="0" w:color="auto"/>
        <w:bottom w:val="none" w:sz="0" w:space="0" w:color="auto"/>
        <w:right w:val="none" w:sz="0" w:space="0" w:color="auto"/>
      </w:divBdr>
    </w:div>
    <w:div w:id="802120867">
      <w:bodyDiv w:val="1"/>
      <w:marLeft w:val="0"/>
      <w:marRight w:val="0"/>
      <w:marTop w:val="0"/>
      <w:marBottom w:val="0"/>
      <w:divBdr>
        <w:top w:val="none" w:sz="0" w:space="0" w:color="auto"/>
        <w:left w:val="none" w:sz="0" w:space="0" w:color="auto"/>
        <w:bottom w:val="none" w:sz="0" w:space="0" w:color="auto"/>
        <w:right w:val="none" w:sz="0" w:space="0" w:color="auto"/>
      </w:divBdr>
    </w:div>
    <w:div w:id="86548314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4859901">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E1A82" w:rsidP="003E1A82">
          <w:pPr>
            <w:pStyle w:val="E460D38E05664FF79D4EFF282EF8EC991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2E734C"/>
    <w:rsid w:val="00313511"/>
    <w:rsid w:val="00334638"/>
    <w:rsid w:val="00345C9D"/>
    <w:rsid w:val="003E1A82"/>
    <w:rsid w:val="0048651F"/>
    <w:rsid w:val="00556D67"/>
    <w:rsid w:val="00793995"/>
    <w:rsid w:val="007C6F98"/>
    <w:rsid w:val="007E254A"/>
    <w:rsid w:val="008B4366"/>
    <w:rsid w:val="009133C7"/>
    <w:rsid w:val="009178E4"/>
    <w:rsid w:val="00961B27"/>
    <w:rsid w:val="00AA7CE3"/>
    <w:rsid w:val="00AF3843"/>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1A8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1781</Words>
  <Characters>8910</Characters>
  <Application>Microsoft Office Word</Application>
  <DocSecurity>0</DocSecurity>
  <Lines>74</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2023-03-16T05:50:00Z</cp:lastPrinted>
  <dcterms:created xsi:type="dcterms:W3CDTF">2023-05-02T13:01:00Z</dcterms:created>
  <dcterms:modified xsi:type="dcterms:W3CDTF">2023-05-02T13:01:00Z</dcterms:modified>
</cp:coreProperties>
</file>